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2ED5C" w14:textId="657608A0" w:rsidR="00D416C7" w:rsidRDefault="00F01434">
      <w:r>
        <w:t xml:space="preserve">The feedback is based on the </w:t>
      </w:r>
      <w:r w:rsidR="00D416C7">
        <w:t>Da</w:t>
      </w:r>
      <w:r w:rsidR="2F2FBBEF">
        <w:t xml:space="preserve"> </w:t>
      </w:r>
      <w:r w:rsidR="00D416C7">
        <w:t>Vinci PCT Implementation Guide</w:t>
      </w:r>
      <w:r>
        <w:t xml:space="preserve"> as of 11/8.  It includes open items from BCBSA’s feedback </w:t>
      </w:r>
      <w:r w:rsidR="004545A1">
        <w:t>as</w:t>
      </w:r>
      <w:r>
        <w:t xml:space="preserve"> of</w:t>
      </w:r>
      <w:r w:rsidR="004545A1">
        <w:t xml:space="preserve"> 9/28</w:t>
      </w:r>
      <w:r w:rsidR="00CE67C9">
        <w:t>/2021</w:t>
      </w:r>
      <w:r>
        <w:t xml:space="preserve"> and</w:t>
      </w:r>
      <w:r w:rsidR="00C06094">
        <w:t xml:space="preserve"> MITRE</w:t>
      </w:r>
      <w:r w:rsidR="00EA12A2">
        <w:t xml:space="preserve"> feedback </w:t>
      </w:r>
      <w:r w:rsidR="004545A1">
        <w:t>dated</w:t>
      </w:r>
      <w:r w:rsidR="00EA12A2">
        <w:t xml:space="preserve"> 10/8</w:t>
      </w:r>
      <w:r>
        <w:t xml:space="preserve">.  </w:t>
      </w:r>
    </w:p>
    <w:p w14:paraId="143EFCF5" w14:textId="45B7E22D" w:rsidR="004939C9" w:rsidRDefault="004939C9">
      <w:r w:rsidRPr="004939C9">
        <w:t>[in reviewing the IG on 11/11…  it looks like today’s version has reverted back to a version prior to 11/8</w:t>
      </w:r>
      <w:r w:rsidR="005F35DF">
        <w:t>;</w:t>
      </w:r>
      <w:r w:rsidRPr="004939C9">
        <w:t xml:space="preserve"> </w:t>
      </w:r>
      <w:r w:rsidR="005F35DF">
        <w:t xml:space="preserve">for example, </w:t>
      </w:r>
      <w:bookmarkStart w:id="0" w:name="_GoBack"/>
      <w:bookmarkEnd w:id="0"/>
      <w:r>
        <w:t xml:space="preserve">content previously in the data flow on 11/8 </w:t>
      </w:r>
      <w:r w:rsidRPr="004939C9">
        <w:t>is not there</w:t>
      </w:r>
      <w:r w:rsidR="005F35DF">
        <w:t xml:space="preserve"> </w:t>
      </w:r>
      <w:r>
        <w:t>on 11/11</w:t>
      </w:r>
      <w:r w:rsidRPr="004939C9">
        <w:t>]</w:t>
      </w:r>
    </w:p>
    <w:p w14:paraId="64F8BD9C" w14:textId="77777777" w:rsidR="00861FBE" w:rsidRPr="00861FBE" w:rsidRDefault="00861FBE" w:rsidP="00861FBE">
      <w:pPr>
        <w:pStyle w:val="Heading1"/>
      </w:pPr>
      <w:r>
        <w:t>IG Home</w:t>
      </w:r>
    </w:p>
    <w:p w14:paraId="358EE5AF" w14:textId="77777777" w:rsidR="00EA12A2" w:rsidRDefault="00161DF4" w:rsidP="00161DF4">
      <w:pPr>
        <w:pStyle w:val="Heading2"/>
      </w:pPr>
      <w:r>
        <w:t xml:space="preserve">Section 1.1 – Overview:  </w:t>
      </w:r>
      <w:r w:rsidRPr="00161DF4">
        <w:rPr>
          <w:sz w:val="22"/>
        </w:rPr>
        <w:t>(</w:t>
      </w:r>
      <w:hyperlink r:id="rId10" w:anchor="overview" w:history="1">
        <w:r w:rsidRPr="00161DF4">
          <w:rPr>
            <w:rStyle w:val="Hyperlink"/>
            <w:sz w:val="22"/>
          </w:rPr>
          <w:t>https://build.fhir.org/ig/HL7/davinci-pct/index.html#overview</w:t>
        </w:r>
      </w:hyperlink>
      <w:r w:rsidRPr="00161DF4">
        <w:rPr>
          <w:sz w:val="22"/>
        </w:rPr>
        <w:t xml:space="preserve"> )</w:t>
      </w:r>
    </w:p>
    <w:p w14:paraId="460E4683" w14:textId="6F5DABCD" w:rsidR="00FD0F0F" w:rsidRDefault="004545A1" w:rsidP="1DD29868">
      <w:pPr>
        <w:pStyle w:val="ListParagraph"/>
        <w:numPr>
          <w:ilvl w:val="1"/>
          <w:numId w:val="1"/>
        </w:numPr>
      </w:pPr>
      <w:r w:rsidRPr="00B43482">
        <w:rPr>
          <w:b/>
          <w:bCs/>
        </w:rPr>
        <w:t>9/28</w:t>
      </w:r>
      <w:r w:rsidR="00B43482" w:rsidRPr="00B43482">
        <w:rPr>
          <w:b/>
          <w:bCs/>
        </w:rPr>
        <w:t xml:space="preserve"> BCBSA</w:t>
      </w:r>
      <w:r>
        <w:t xml:space="preserve">:  </w:t>
      </w:r>
      <w:r w:rsidR="00FD0F0F">
        <w:t xml:space="preserve">Reference that the IG is written to support compliance with the No Surprises Act.  Reference similar language in </w:t>
      </w:r>
      <w:hyperlink r:id="rId11" w:anchor="cms-patient-access-and-interoperability-rules">
        <w:r w:rsidR="00FD0F0F" w:rsidRPr="1DD29868">
          <w:rPr>
            <w:rStyle w:val="Hyperlink"/>
          </w:rPr>
          <w:t>Background CMS Patient Access and Interoperability Rules</w:t>
        </w:r>
      </w:hyperlink>
      <w:r w:rsidR="00A0616A">
        <w:t>.  It’s referenced in Terms and Concepts but needs more prominence as it’s the</w:t>
      </w:r>
      <w:r w:rsidR="00286BC3">
        <w:t xml:space="preserve"> </w:t>
      </w:r>
      <w:r w:rsidR="00A0616A">
        <w:t xml:space="preserve">reason the IG is being defined.     </w:t>
      </w:r>
    </w:p>
    <w:p w14:paraId="2CB3E48F" w14:textId="7F290FF6" w:rsidR="1DD29868" w:rsidRDefault="00D200D6" w:rsidP="28C972C2">
      <w:pPr>
        <w:ind w:left="1440"/>
        <w:rPr>
          <w:color w:val="FF0000"/>
        </w:rPr>
      </w:pPr>
      <w:r>
        <w:rPr>
          <w:color w:val="FF0000"/>
        </w:rPr>
        <w:t>[</w:t>
      </w:r>
      <w:r w:rsidR="00B43482">
        <w:rPr>
          <w:color w:val="FF0000"/>
        </w:rPr>
        <w:t xml:space="preserve">10/8 </w:t>
      </w:r>
      <w:r>
        <w:rPr>
          <w:color w:val="FF0000"/>
        </w:rPr>
        <w:t xml:space="preserve">MITRE] </w:t>
      </w:r>
      <w:r w:rsidR="15F05BA8" w:rsidRPr="28C972C2">
        <w:rPr>
          <w:color w:val="FF0000"/>
        </w:rPr>
        <w:t>Vanessa/Viet/Da Vinci</w:t>
      </w:r>
      <w:r w:rsidR="65CE1B5D" w:rsidRPr="28C972C2">
        <w:rPr>
          <w:color w:val="FF0000"/>
        </w:rPr>
        <w:t>,</w:t>
      </w:r>
      <w:r w:rsidR="15F05BA8" w:rsidRPr="28C972C2">
        <w:rPr>
          <w:color w:val="FF0000"/>
        </w:rPr>
        <w:t xml:space="preserve"> is this IG being balloted to </w:t>
      </w:r>
      <w:r w:rsidR="7651A14C" w:rsidRPr="28C972C2">
        <w:rPr>
          <w:color w:val="FF0000"/>
        </w:rPr>
        <w:t xml:space="preserve">support </w:t>
      </w:r>
      <w:r w:rsidR="066CF943" w:rsidRPr="28C972C2">
        <w:rPr>
          <w:color w:val="FF0000"/>
        </w:rPr>
        <w:t xml:space="preserve">the </w:t>
      </w:r>
      <w:r w:rsidR="15F05BA8" w:rsidRPr="28C972C2">
        <w:rPr>
          <w:color w:val="FF0000"/>
        </w:rPr>
        <w:t xml:space="preserve">No Surprises Act? </w:t>
      </w:r>
    </w:p>
    <w:p w14:paraId="0C541B0B" w14:textId="77777777" w:rsidR="1DD29868" w:rsidRDefault="15F05BA8" w:rsidP="28C972C2">
      <w:pPr>
        <w:ind w:left="1440"/>
        <w:rPr>
          <w:color w:val="FF0000"/>
        </w:rPr>
      </w:pPr>
      <w:r w:rsidRPr="28C972C2">
        <w:rPr>
          <w:color w:val="FF0000"/>
        </w:rPr>
        <w:t xml:space="preserve">If </w:t>
      </w:r>
      <w:r w:rsidR="5A77A51B" w:rsidRPr="28C972C2">
        <w:rPr>
          <w:color w:val="FF0000"/>
        </w:rPr>
        <w:t>yes, could you</w:t>
      </w:r>
      <w:r w:rsidR="294346F7" w:rsidRPr="28C972C2">
        <w:rPr>
          <w:color w:val="FF0000"/>
        </w:rPr>
        <w:t xml:space="preserve"> </w:t>
      </w:r>
      <w:r w:rsidR="5A77A51B" w:rsidRPr="28C972C2">
        <w:rPr>
          <w:color w:val="FF0000"/>
        </w:rPr>
        <w:t>please</w:t>
      </w:r>
      <w:r w:rsidR="1C7E09E5" w:rsidRPr="28C972C2">
        <w:rPr>
          <w:color w:val="FF0000"/>
        </w:rPr>
        <w:t xml:space="preserve"> the</w:t>
      </w:r>
      <w:r w:rsidR="3713E217" w:rsidRPr="28C972C2">
        <w:rPr>
          <w:color w:val="FF0000"/>
        </w:rPr>
        <w:t xml:space="preserve"> provide language/text for this?</w:t>
      </w:r>
      <w:r w:rsidR="1C7E09E5" w:rsidRPr="28C972C2">
        <w:rPr>
          <w:color w:val="FF0000"/>
        </w:rPr>
        <w:t xml:space="preserve"> </w:t>
      </w:r>
      <w:r w:rsidR="5A77A51B" w:rsidRPr="28C972C2">
        <w:rPr>
          <w:color w:val="FF0000"/>
        </w:rPr>
        <w:t xml:space="preserve"> </w:t>
      </w:r>
    </w:p>
    <w:p w14:paraId="119E275A" w14:textId="1FC9DD20" w:rsidR="006E36F8" w:rsidRDefault="00B43482" w:rsidP="00BC230A">
      <w:pPr>
        <w:ind w:left="1440"/>
      </w:pPr>
      <w:r w:rsidRPr="00B43482">
        <w:rPr>
          <w:b/>
          <w:bCs/>
        </w:rPr>
        <w:t>11/8 BCBSA:</w:t>
      </w:r>
      <w:r>
        <w:t xml:space="preserve"> </w:t>
      </w:r>
      <w:r w:rsidR="000576F0">
        <w:t>Suggest the following</w:t>
      </w:r>
      <w:r w:rsidR="00BC230A">
        <w:t xml:space="preserve"> wording</w:t>
      </w:r>
      <w:r w:rsidR="00731C16">
        <w:t xml:space="preserve"> replac</w:t>
      </w:r>
      <w:r w:rsidR="000576F0">
        <w:t>e</w:t>
      </w:r>
      <w:r w:rsidR="007F5F63">
        <w:t xml:space="preserve"> the first two paragraphs of </w:t>
      </w:r>
      <w:r w:rsidR="00731C16">
        <w:t>the Overview</w:t>
      </w:r>
      <w:r w:rsidR="00BC230A">
        <w:t xml:space="preserve">:  </w:t>
      </w:r>
    </w:p>
    <w:bookmarkStart w:id="1" w:name="OLE_LINK14"/>
    <w:p w14:paraId="7B585D91" w14:textId="43F671A6" w:rsidR="00BC230A" w:rsidRPr="00BC230A" w:rsidRDefault="0067523D" w:rsidP="00BC230A">
      <w:pPr>
        <w:ind w:left="1440"/>
      </w:pPr>
      <w:r>
        <w:fldChar w:fldCharType="begin"/>
      </w:r>
      <w:r>
        <w:instrText>HYPERLINK "https://www.congress.gov/bill/116th-congress/house-bill/133"</w:instrText>
      </w:r>
      <w:r>
        <w:fldChar w:fldCharType="separate"/>
      </w:r>
      <w:r>
        <w:rPr>
          <w:rStyle w:val="Hyperlink"/>
        </w:rPr>
        <w:t>The Consolidated Appropriations Act, 2021 (CAA) (H.R. 133)</w:t>
      </w:r>
      <w:r>
        <w:fldChar w:fldCharType="end"/>
      </w:r>
      <w:bookmarkEnd w:id="1"/>
      <w:r>
        <w:t xml:space="preserve"> </w:t>
      </w:r>
      <w:r w:rsidR="00F01434">
        <w:t>was</w:t>
      </w:r>
      <w:r w:rsidR="007F5F63">
        <w:t xml:space="preserve"> signed</w:t>
      </w:r>
      <w:r w:rsidR="00F01434">
        <w:t xml:space="preserve"> </w:t>
      </w:r>
      <w:r w:rsidR="00BC230A" w:rsidRPr="00BC230A">
        <w:t xml:space="preserve">into law on Dec. 27, 2020. </w:t>
      </w:r>
      <w:r w:rsidR="00F01434">
        <w:t>C</w:t>
      </w:r>
      <w:r w:rsidR="00BC230A" w:rsidRPr="00BC230A">
        <w:t>omb</w:t>
      </w:r>
      <w:r w:rsidR="00F01434">
        <w:t>ined with</w:t>
      </w:r>
      <w:r w:rsidR="00BC230A" w:rsidRPr="00BC230A">
        <w:t xml:space="preserve"> funding for COVID-19 relief, </w:t>
      </w:r>
      <w:r w:rsidR="00F01434">
        <w:t xml:space="preserve">it provides </w:t>
      </w:r>
      <w:r w:rsidR="00BC230A" w:rsidRPr="00BC230A">
        <w:t xml:space="preserve">protections for patients from surprise medical bills and several other health-related provisions. </w:t>
      </w:r>
    </w:p>
    <w:p w14:paraId="080A7486" w14:textId="5952E2E2" w:rsidR="006203A8" w:rsidRDefault="0067523D" w:rsidP="00BC230A">
      <w:pPr>
        <w:ind w:left="1440"/>
      </w:pPr>
      <w:bookmarkStart w:id="2" w:name="OLE_LINK4"/>
      <w:r>
        <w:t xml:space="preserve">It requires </w:t>
      </w:r>
      <w:r w:rsidR="00BC230A" w:rsidRPr="00BC230A">
        <w:t>individual and group health plans to provide an Advanced EOB</w:t>
      </w:r>
      <w:r>
        <w:t xml:space="preserve"> (AEOB)</w:t>
      </w:r>
      <w:r w:rsidR="00BC230A" w:rsidRPr="00BC230A">
        <w:t xml:space="preserve"> for scheduled services at least three days in </w:t>
      </w:r>
      <w:r w:rsidR="00231C20">
        <w:t>advance</w:t>
      </w:r>
      <w:r w:rsidR="00231C20" w:rsidRPr="00BC230A">
        <w:t xml:space="preserve"> </w:t>
      </w:r>
      <w:r w:rsidR="00BC230A" w:rsidRPr="00BC230A">
        <w:t>to give patients transparency into which providers are expected to provide treatment, th</w:t>
      </w:r>
      <w:r w:rsidR="00F237B9">
        <w:t>e network status of providers, good faith e</w:t>
      </w:r>
      <w:r w:rsidR="00BC230A" w:rsidRPr="00BC230A">
        <w:t>stimates of cost, cost-sharing and progress towards meeting deductibles and ou</w:t>
      </w:r>
      <w:r w:rsidR="00F01434">
        <w:t xml:space="preserve">t-of-pocket maximums, </w:t>
      </w:r>
      <w:r w:rsidR="00BC230A" w:rsidRPr="00BC230A">
        <w:t>whether a service is subject to medical management and relevant disclaimers</w:t>
      </w:r>
      <w:bookmarkEnd w:id="2"/>
      <w:r w:rsidR="00BC230A" w:rsidRPr="00BC230A">
        <w:t xml:space="preserve">. </w:t>
      </w:r>
    </w:p>
    <w:p w14:paraId="1424DB13" w14:textId="40BF2460" w:rsidR="00BC230A" w:rsidRDefault="00BC230A" w:rsidP="00BC230A">
      <w:pPr>
        <w:ind w:left="1440"/>
      </w:pPr>
      <w:r w:rsidRPr="00BC230A">
        <w:t xml:space="preserve">The </w:t>
      </w:r>
      <w:r w:rsidR="00F01434">
        <w:t>A</w:t>
      </w:r>
      <w:r w:rsidRPr="00BC230A">
        <w:t xml:space="preserve">EOB requirement is triggered upon notification from the provider of the scheduled service or request of the </w:t>
      </w:r>
      <w:r w:rsidR="0067523D">
        <w:t xml:space="preserve">patient </w:t>
      </w:r>
      <w:r w:rsidR="006203A8">
        <w:t xml:space="preserve">to </w:t>
      </w:r>
      <w:bookmarkStart w:id="3" w:name="OLE_LINK3"/>
      <w:r w:rsidR="00F237B9">
        <w:t>provide a notification of the good faith e</w:t>
      </w:r>
      <w:r w:rsidR="006203A8" w:rsidRPr="006203A8">
        <w:t>stimate of the expected charges</w:t>
      </w:r>
      <w:r w:rsidR="00F237B9">
        <w:t>, billing and diagnostic codes</w:t>
      </w:r>
      <w:r w:rsidR="006203A8" w:rsidRPr="006203A8">
        <w:t xml:space="preserve"> for furnishing </w:t>
      </w:r>
      <w:r w:rsidR="00F237B9">
        <w:t>their</w:t>
      </w:r>
      <w:r w:rsidR="006203A8" w:rsidRPr="006203A8">
        <w:t xml:space="preserve"> service</w:t>
      </w:r>
      <w:r w:rsidR="00F237B9">
        <w:t>s</w:t>
      </w:r>
      <w:r w:rsidR="00381408">
        <w:t xml:space="preserve">, </w:t>
      </w:r>
      <w:r w:rsidR="00381408">
        <w:rPr>
          <w:bCs/>
        </w:rPr>
        <w:t xml:space="preserve">including services reasonably expected to be </w:t>
      </w:r>
      <w:r w:rsidR="006203A8" w:rsidRPr="006203A8">
        <w:rPr>
          <w:bCs/>
        </w:rPr>
        <w:t xml:space="preserve">provided </w:t>
      </w:r>
      <w:r w:rsidR="00381408">
        <w:rPr>
          <w:bCs/>
        </w:rPr>
        <w:t>by another health care provider</w:t>
      </w:r>
      <w:bookmarkEnd w:id="3"/>
      <w:r w:rsidR="006203A8">
        <w:t xml:space="preserve">.  </w:t>
      </w:r>
    </w:p>
    <w:p w14:paraId="64F529B0" w14:textId="4496A078" w:rsidR="006203A8" w:rsidRDefault="00731C16" w:rsidP="006203A8">
      <w:pPr>
        <w:ind w:left="1440"/>
      </w:pPr>
      <w:r>
        <w:t xml:space="preserve">This IG will address the use case </w:t>
      </w:r>
      <w:r w:rsidR="00F237B9">
        <w:t>whereby a good faith e</w:t>
      </w:r>
      <w:r w:rsidR="006203A8">
        <w:t xml:space="preserve">stimate </w:t>
      </w:r>
      <w:r w:rsidR="00F237B9">
        <w:t>is provided by the scheduling provider, triggering a good faith e</w:t>
      </w:r>
      <w:r w:rsidR="006203A8">
        <w:t xml:space="preserve">stimate </w:t>
      </w:r>
      <w:r w:rsidR="00381408">
        <w:t>of the amount the payer</w:t>
      </w:r>
      <w:r w:rsidR="006203A8">
        <w:t xml:space="preserve"> is responsible for paying for items and services</w:t>
      </w:r>
      <w:r w:rsidR="0086287D">
        <w:t>; i.e., the Advanced EOB</w:t>
      </w:r>
      <w:r w:rsidR="003E3A26">
        <w:t>.</w:t>
      </w:r>
    </w:p>
    <w:p w14:paraId="45793DF0" w14:textId="32980A20" w:rsidR="00F5611A" w:rsidRDefault="00F5611A" w:rsidP="006203A8">
      <w:pPr>
        <w:ind w:left="1440"/>
      </w:pPr>
      <w:r>
        <w:t>To ensure compliance, i</w:t>
      </w:r>
      <w:r w:rsidRPr="00F5611A">
        <w:t>mplementers should reference the CAA and associated regulations.</w:t>
      </w:r>
    </w:p>
    <w:p w14:paraId="2B112B89" w14:textId="487CFBE1" w:rsidR="00321E62" w:rsidRPr="000745D8" w:rsidRDefault="00321E62" w:rsidP="00F636A1">
      <w:pPr>
        <w:pStyle w:val="ListParagraph"/>
        <w:numPr>
          <w:ilvl w:val="1"/>
          <w:numId w:val="1"/>
        </w:numPr>
      </w:pPr>
      <w:r w:rsidRPr="000745D8">
        <w:rPr>
          <w:b/>
          <w:bCs/>
        </w:rPr>
        <w:t xml:space="preserve">11/8 BCBSA: </w:t>
      </w:r>
      <w:r>
        <w:t xml:space="preserve">The second paragraph of the overview states:  ‘The goal of this IG is to support the request for cost information for specific services and items from the payer and return </w:t>
      </w:r>
      <w:r w:rsidRPr="00321E62">
        <w:t>them in near real-time to</w:t>
      </w:r>
      <w:r>
        <w:t xml:space="preserve"> allow effective decision making by the patient in consultation with the ‘ordering’ provider.’  To stay aligned with the requirements of the </w:t>
      </w:r>
      <w:r>
        <w:lastRenderedPageBreak/>
        <w:t xml:space="preserve">CAA, modify the paragraph to read:  ‘The goal of this IG is to support the request </w:t>
      </w:r>
      <w:r w:rsidRPr="000745D8">
        <w:rPr>
          <w:color w:val="FF0000"/>
        </w:rPr>
        <w:t xml:space="preserve">by the scheduling provider </w:t>
      </w:r>
      <w:r>
        <w:t xml:space="preserve">for cost information for specific services and items from the payer.  </w:t>
      </w:r>
      <w:r w:rsidR="0086287D">
        <w:t xml:space="preserve">The payer may elect to provide an AEOB to a patient’s third party app.  </w:t>
      </w:r>
      <w:r w:rsidRPr="000745D8">
        <w:rPr>
          <w:color w:val="FF0000"/>
        </w:rPr>
        <w:t xml:space="preserve">The IG supports the </w:t>
      </w:r>
      <w:r w:rsidR="0086287D" w:rsidRPr="000745D8">
        <w:rPr>
          <w:color w:val="FF0000"/>
        </w:rPr>
        <w:t xml:space="preserve">payer providing the AEOB to the patient via FHIR as an optional delivery method.  Additionally, the IG supports </w:t>
      </w:r>
      <w:r w:rsidR="000745D8" w:rsidRPr="000745D8">
        <w:rPr>
          <w:color w:val="FF0000"/>
        </w:rPr>
        <w:t xml:space="preserve">the payer </w:t>
      </w:r>
      <w:r w:rsidR="00CF2117">
        <w:rPr>
          <w:color w:val="FF0000"/>
        </w:rPr>
        <w:t xml:space="preserve">optionally </w:t>
      </w:r>
      <w:r w:rsidR="000745D8" w:rsidRPr="000745D8">
        <w:rPr>
          <w:color w:val="FF0000"/>
        </w:rPr>
        <w:t xml:space="preserve">providing the scheduling provider a copy of the AEOB.  </w:t>
      </w:r>
    </w:p>
    <w:p w14:paraId="210D5F29" w14:textId="77777777" w:rsidR="000745D8" w:rsidRDefault="000745D8" w:rsidP="000745D8">
      <w:pPr>
        <w:pStyle w:val="ListParagraph"/>
        <w:ind w:left="1440"/>
      </w:pPr>
    </w:p>
    <w:p w14:paraId="2C4D3136" w14:textId="5931BD5E" w:rsidR="00731C16" w:rsidRDefault="00B43482" w:rsidP="00731C16">
      <w:pPr>
        <w:pStyle w:val="ListParagraph"/>
        <w:numPr>
          <w:ilvl w:val="1"/>
          <w:numId w:val="1"/>
        </w:numPr>
      </w:pPr>
      <w:r w:rsidRPr="00B43482">
        <w:rPr>
          <w:b/>
          <w:bCs/>
        </w:rPr>
        <w:t>11/8 BCBSA:</w:t>
      </w:r>
      <w:r>
        <w:rPr>
          <w:b/>
          <w:bCs/>
        </w:rPr>
        <w:t xml:space="preserve"> </w:t>
      </w:r>
      <w:r w:rsidR="00731C16">
        <w:t>Modify</w:t>
      </w:r>
      <w:r w:rsidR="00E50A24">
        <w:t xml:space="preserve"> the </w:t>
      </w:r>
      <w:r w:rsidR="00321E62">
        <w:t>fifth paragraph to read</w:t>
      </w:r>
      <w:r w:rsidR="00731C16">
        <w:t xml:space="preserve"> ‘</w:t>
      </w:r>
      <w:r w:rsidR="00731C16" w:rsidRPr="00731C16">
        <w:t>As this is a FHIR based use case and X12 is not required</w:t>
      </w:r>
      <w:r w:rsidR="00231C20">
        <w:t>,</w:t>
      </w:r>
      <w:r w:rsidR="00231C20" w:rsidRPr="00731C16">
        <w:t xml:space="preserve"> </w:t>
      </w:r>
      <w:r w:rsidR="00731C16" w:rsidRPr="00731C16">
        <w:t xml:space="preserve">X12 </w:t>
      </w:r>
      <w:r w:rsidR="00731C16">
        <w:rPr>
          <w:color w:val="FF0000"/>
        </w:rPr>
        <w:t xml:space="preserve">data elements required for claims submission </w:t>
      </w:r>
      <w:r w:rsidR="00731C16" w:rsidRPr="00731C16">
        <w:t xml:space="preserve">will only be used to inform the </w:t>
      </w:r>
      <w:r w:rsidR="00731C16">
        <w:rPr>
          <w:color w:val="FF0000"/>
        </w:rPr>
        <w:t xml:space="preserve">data elements in the </w:t>
      </w:r>
      <w:r w:rsidR="00731C16" w:rsidRPr="00731C16">
        <w:t xml:space="preserve">PCT APIs. In other words, the implementer is not required to use X12 as there is not an </w:t>
      </w:r>
      <w:r w:rsidR="00231C20">
        <w:t>HIPAA</w:t>
      </w:r>
      <w:r w:rsidR="00231C20" w:rsidRPr="00731C16">
        <w:t xml:space="preserve"> </w:t>
      </w:r>
      <w:r w:rsidR="00731C16" w:rsidRPr="00731C16">
        <w:t>mandate to do so.</w:t>
      </w:r>
    </w:p>
    <w:p w14:paraId="275AC155" w14:textId="77777777" w:rsidR="00B43482" w:rsidRDefault="00B43482" w:rsidP="00B43482">
      <w:pPr>
        <w:pStyle w:val="ListParagraph"/>
        <w:ind w:left="1440"/>
      </w:pPr>
    </w:p>
    <w:p w14:paraId="2865AA27" w14:textId="77777777" w:rsidR="1DD29868" w:rsidRPr="00731C16" w:rsidRDefault="00731C16" w:rsidP="1DD29868">
      <w:pPr>
        <w:ind w:left="720"/>
        <w:rPr>
          <w:b/>
        </w:rPr>
      </w:pPr>
      <w:r w:rsidRPr="00731C16">
        <w:rPr>
          <w:b/>
        </w:rPr>
        <w:t>AEOB Interaction Diagram Steps (High Level View)</w:t>
      </w:r>
    </w:p>
    <w:p w14:paraId="5F3D6339" w14:textId="1C278F74" w:rsidR="00A21648" w:rsidRPr="00A21648" w:rsidRDefault="004545A1" w:rsidP="1DD29868">
      <w:pPr>
        <w:pStyle w:val="ListParagraph"/>
        <w:numPr>
          <w:ilvl w:val="1"/>
          <w:numId w:val="1"/>
        </w:numPr>
        <w:rPr>
          <w:rStyle w:val="Emphasis"/>
          <w:i w:val="0"/>
          <w:iCs w:val="0"/>
        </w:rPr>
      </w:pPr>
      <w:r w:rsidRPr="00B43482">
        <w:rPr>
          <w:b/>
          <w:bCs/>
        </w:rPr>
        <w:t>9/28</w:t>
      </w:r>
      <w:r w:rsidR="00B43482" w:rsidRPr="00B43482">
        <w:rPr>
          <w:b/>
          <w:bCs/>
        </w:rPr>
        <w:t xml:space="preserve"> BCBSA</w:t>
      </w:r>
      <w:r>
        <w:t xml:space="preserve">:  </w:t>
      </w:r>
      <w:r w:rsidR="00FE1C3A">
        <w:t>The statement, ‘</w:t>
      </w:r>
      <w:r w:rsidR="00FE1C3A">
        <w:rPr>
          <w:rStyle w:val="Emphasis"/>
          <w:rFonts w:ascii="Verdana" w:hAnsi="Verdana"/>
          <w:color w:val="333333"/>
          <w:sz w:val="18"/>
          <w:szCs w:val="18"/>
          <w:shd w:val="clear" w:color="auto" w:fill="FFFFFF"/>
        </w:rPr>
        <w:t>The composition of the collection of GFEs is cur</w:t>
      </w:r>
      <w:r w:rsidR="0085335E">
        <w:rPr>
          <w:rStyle w:val="Emphasis"/>
          <w:rFonts w:ascii="Verdana" w:hAnsi="Verdana"/>
          <w:color w:val="333333"/>
          <w:sz w:val="18"/>
          <w:szCs w:val="18"/>
          <w:shd w:val="clear" w:color="auto" w:fill="FFFFFF"/>
        </w:rPr>
        <w:t>rently not in scope for this IG</w:t>
      </w:r>
      <w:r w:rsidR="00FE1C3A">
        <w:rPr>
          <w:rStyle w:val="Emphasis"/>
          <w:rFonts w:ascii="Verdana" w:hAnsi="Verdana"/>
          <w:color w:val="333333"/>
          <w:sz w:val="18"/>
          <w:szCs w:val="18"/>
          <w:shd w:val="clear" w:color="auto" w:fill="FFFFFF"/>
        </w:rPr>
        <w:t xml:space="preserve">’, </w:t>
      </w:r>
      <w:r w:rsidR="00FE1C3A" w:rsidRPr="1DD29868">
        <w:rPr>
          <w:rStyle w:val="Emphasis"/>
          <w:rFonts w:ascii="Verdana" w:hAnsi="Verdana"/>
          <w:i w:val="0"/>
          <w:iCs w:val="0"/>
          <w:color w:val="333333"/>
          <w:sz w:val="18"/>
          <w:szCs w:val="18"/>
          <w:shd w:val="clear" w:color="auto" w:fill="FFFFFF"/>
        </w:rPr>
        <w:t xml:space="preserve">is unclear.  Does this mean the definition of the GFE is not in scope or </w:t>
      </w:r>
      <w:r w:rsidR="00A21648" w:rsidRPr="1DD29868">
        <w:rPr>
          <w:rStyle w:val="Emphasis"/>
          <w:rFonts w:ascii="Verdana" w:hAnsi="Verdana"/>
          <w:i w:val="0"/>
          <w:iCs w:val="0"/>
          <w:color w:val="333333"/>
          <w:sz w:val="18"/>
          <w:szCs w:val="18"/>
          <w:shd w:val="clear" w:color="auto" w:fill="FFFFFF"/>
        </w:rPr>
        <w:t xml:space="preserve">the means by which the scheduling provider coordinates with other providers is not in scope?  </w:t>
      </w:r>
    </w:p>
    <w:p w14:paraId="51145F5E" w14:textId="77777777" w:rsidR="00FE1C3A" w:rsidRDefault="00A21648" w:rsidP="00A21648">
      <w:pPr>
        <w:pStyle w:val="ListParagraph"/>
        <w:numPr>
          <w:ilvl w:val="2"/>
          <w:numId w:val="1"/>
        </w:numPr>
      </w:pPr>
      <w:r w:rsidRPr="1DD29868">
        <w:rPr>
          <w:rStyle w:val="Emphasis"/>
          <w:rFonts w:ascii="Verdana" w:hAnsi="Verdana"/>
          <w:i w:val="0"/>
          <w:iCs w:val="0"/>
          <w:color w:val="333333"/>
          <w:sz w:val="18"/>
          <w:szCs w:val="18"/>
          <w:shd w:val="clear" w:color="auto" w:fill="FFFFFF"/>
        </w:rPr>
        <w:t>Although the workgroup has called out that the coordination of the scheduling provider with other providers is not in scope, for provider to payer continuity and a</w:t>
      </w:r>
      <w:r w:rsidR="00964188" w:rsidRPr="1DD29868">
        <w:rPr>
          <w:rStyle w:val="Emphasis"/>
          <w:rFonts w:ascii="Verdana" w:hAnsi="Verdana"/>
          <w:i w:val="0"/>
          <w:iCs w:val="0"/>
          <w:color w:val="333333"/>
          <w:sz w:val="18"/>
          <w:szCs w:val="18"/>
          <w:shd w:val="clear" w:color="auto" w:fill="FFFFFF"/>
        </w:rPr>
        <w:t xml:space="preserve"> unified end to end solution, we recommended it be included in scope. </w:t>
      </w:r>
      <w:r w:rsidR="00FE1C3A" w:rsidRPr="1DD29868">
        <w:rPr>
          <w:rStyle w:val="Emphasis"/>
          <w:rFonts w:ascii="Verdana" w:hAnsi="Verdana"/>
          <w:i w:val="0"/>
          <w:iCs w:val="0"/>
          <w:color w:val="333333"/>
          <w:sz w:val="18"/>
          <w:szCs w:val="18"/>
          <w:shd w:val="clear" w:color="auto" w:fill="FFFFFF"/>
        </w:rPr>
        <w:t xml:space="preserve"> </w:t>
      </w:r>
    </w:p>
    <w:p w14:paraId="07E1E239" w14:textId="1C99658B" w:rsidR="56524050" w:rsidRDefault="00D200D6" w:rsidP="1DD29868">
      <w:pPr>
        <w:pStyle w:val="NoSpacing"/>
        <w:ind w:left="1440"/>
        <w:rPr>
          <w:color w:val="FF0000"/>
        </w:rPr>
      </w:pPr>
      <w:r>
        <w:rPr>
          <w:color w:val="FF0000"/>
        </w:rPr>
        <w:t>[</w:t>
      </w:r>
      <w:r w:rsidR="00B43482">
        <w:rPr>
          <w:color w:val="FF0000"/>
        </w:rPr>
        <w:t xml:space="preserve">10/8 </w:t>
      </w:r>
      <w:r>
        <w:rPr>
          <w:color w:val="FF0000"/>
        </w:rPr>
        <w:t xml:space="preserve">MITRE] </w:t>
      </w:r>
      <w:r w:rsidR="56524050" w:rsidRPr="1DD29868">
        <w:rPr>
          <w:color w:val="FF0000"/>
        </w:rPr>
        <w:t>It mean</w:t>
      </w:r>
      <w:r w:rsidR="7C653035" w:rsidRPr="1DD29868">
        <w:rPr>
          <w:color w:val="FF0000"/>
        </w:rPr>
        <w:t>s</w:t>
      </w:r>
      <w:r w:rsidR="56524050" w:rsidRPr="1DD29868">
        <w:rPr>
          <w:color w:val="FF0000"/>
        </w:rPr>
        <w:t xml:space="preserve"> “the means by which the scheduling provider coordinates with other </w:t>
      </w:r>
      <w:r w:rsidR="56524050" w:rsidRPr="28C972C2">
        <w:rPr>
          <w:color w:val="FF0000"/>
        </w:rPr>
        <w:t>providers is not in scope? I think we can work on making this more clear.</w:t>
      </w:r>
      <w:r w:rsidR="02479478" w:rsidRPr="28C972C2">
        <w:rPr>
          <w:color w:val="FF0000"/>
        </w:rPr>
        <w:t xml:space="preserve"> </w:t>
      </w:r>
    </w:p>
    <w:p w14:paraId="7FB05FAC" w14:textId="77777777" w:rsidR="1DD29868" w:rsidRDefault="1DD29868" w:rsidP="1DD29868">
      <w:pPr>
        <w:pStyle w:val="NoSpacing"/>
        <w:ind w:left="1440"/>
        <w:rPr>
          <w:color w:val="FF0000"/>
        </w:rPr>
      </w:pPr>
    </w:p>
    <w:p w14:paraId="2C5347D1" w14:textId="77777777" w:rsidR="0201C1EF" w:rsidRDefault="0201C1EF" w:rsidP="1DD29868">
      <w:pPr>
        <w:pStyle w:val="NoSpacing"/>
        <w:ind w:left="1440"/>
        <w:rPr>
          <w:color w:val="FF0000"/>
        </w:rPr>
      </w:pPr>
      <w:r w:rsidRPr="1DD29868">
        <w:rPr>
          <w:color w:val="FF0000"/>
        </w:rPr>
        <w:t xml:space="preserve">Also, </w:t>
      </w:r>
      <w:r w:rsidR="6E136D5A" w:rsidRPr="1DD29868">
        <w:rPr>
          <w:color w:val="FF0000"/>
        </w:rPr>
        <w:t>I suspect</w:t>
      </w:r>
      <w:r w:rsidR="6F5230E4" w:rsidRPr="1DD29868">
        <w:rPr>
          <w:color w:val="FF0000"/>
        </w:rPr>
        <w:t xml:space="preserve"> the “</w:t>
      </w:r>
      <w:r w:rsidR="6F5230E4" w:rsidRPr="1DD29868">
        <w:rPr>
          <w:rStyle w:val="Emphasis"/>
          <w:rFonts w:ascii="Verdana" w:hAnsi="Verdana"/>
          <w:color w:val="FF0000"/>
          <w:sz w:val="18"/>
          <w:szCs w:val="18"/>
        </w:rPr>
        <w:t>composition of the collection of GFEs</w:t>
      </w:r>
      <w:r w:rsidR="6F5230E4" w:rsidRPr="1DD29868">
        <w:rPr>
          <w:color w:val="FF0000"/>
        </w:rPr>
        <w:t>”</w:t>
      </w:r>
      <w:r w:rsidR="6E136D5A" w:rsidRPr="1DD29868">
        <w:rPr>
          <w:color w:val="FF0000"/>
        </w:rPr>
        <w:t xml:space="preserve"> might be</w:t>
      </w:r>
      <w:r w:rsidR="1D289752" w:rsidRPr="1DD29868">
        <w:rPr>
          <w:color w:val="FF0000"/>
        </w:rPr>
        <w:t xml:space="preserve"> in scope</w:t>
      </w:r>
      <w:r w:rsidR="6E136D5A" w:rsidRPr="1DD29868">
        <w:rPr>
          <w:color w:val="FF0000"/>
        </w:rPr>
        <w:t xml:space="preserve"> at another time using another work stream</w:t>
      </w:r>
      <w:r w:rsidR="05F7F53F" w:rsidRPr="1DD29868">
        <w:rPr>
          <w:color w:val="FF0000"/>
        </w:rPr>
        <w:t>/IG</w:t>
      </w:r>
      <w:r w:rsidR="6E136D5A" w:rsidRPr="1DD29868">
        <w:rPr>
          <w:color w:val="FF0000"/>
        </w:rPr>
        <w:t>. I will</w:t>
      </w:r>
      <w:r w:rsidR="0BDA5981" w:rsidRPr="1DD29868">
        <w:rPr>
          <w:color w:val="FF0000"/>
        </w:rPr>
        <w:t xml:space="preserve"> </w:t>
      </w:r>
      <w:r w:rsidR="6E136D5A" w:rsidRPr="1DD29868">
        <w:rPr>
          <w:color w:val="FF0000"/>
        </w:rPr>
        <w:t>defer</w:t>
      </w:r>
      <w:r w:rsidR="2C87E6E8" w:rsidRPr="1DD29868">
        <w:rPr>
          <w:color w:val="FF0000"/>
        </w:rPr>
        <w:t xml:space="preserve"> </w:t>
      </w:r>
      <w:r w:rsidR="6E136D5A" w:rsidRPr="1DD29868">
        <w:rPr>
          <w:color w:val="FF0000"/>
        </w:rPr>
        <w:t>to Da Vinci here.</w:t>
      </w:r>
    </w:p>
    <w:p w14:paraId="11F6D9FF" w14:textId="77777777" w:rsidR="00731C16" w:rsidRDefault="00731C16" w:rsidP="1DD29868">
      <w:pPr>
        <w:pStyle w:val="NoSpacing"/>
        <w:ind w:left="1440"/>
      </w:pPr>
    </w:p>
    <w:p w14:paraId="4615C089" w14:textId="26044B68" w:rsidR="00731C16" w:rsidRDefault="00B43482" w:rsidP="1DD29868">
      <w:pPr>
        <w:pStyle w:val="NoSpacing"/>
        <w:ind w:left="1440"/>
      </w:pPr>
      <w:r w:rsidRPr="00B43482">
        <w:rPr>
          <w:b/>
          <w:bCs/>
        </w:rPr>
        <w:t>11/8 BCBSA:</w:t>
      </w:r>
      <w:r>
        <w:rPr>
          <w:b/>
          <w:bCs/>
        </w:rPr>
        <w:t xml:space="preserve"> </w:t>
      </w:r>
      <w:r w:rsidR="00731C16">
        <w:t xml:space="preserve">This has not been updated to be </w:t>
      </w:r>
      <w:r w:rsidR="005F00C6">
        <w:t>clearer</w:t>
      </w:r>
      <w:r w:rsidR="00731C16">
        <w:t xml:space="preserve">.  </w:t>
      </w:r>
    </w:p>
    <w:p w14:paraId="4B882AC0" w14:textId="77777777" w:rsidR="00731C16" w:rsidRDefault="00731C16" w:rsidP="1DD29868">
      <w:pPr>
        <w:pStyle w:val="NoSpacing"/>
        <w:ind w:left="1440"/>
      </w:pPr>
    </w:p>
    <w:p w14:paraId="41DCDF91" w14:textId="77777777" w:rsidR="00731C16" w:rsidRDefault="00731C16" w:rsidP="1DD29868">
      <w:pPr>
        <w:pStyle w:val="NoSpacing"/>
        <w:ind w:left="1440"/>
        <w:rPr>
          <w:color w:val="FF0000"/>
        </w:rPr>
      </w:pPr>
      <w:r>
        <w:t xml:space="preserve">If the coordination of the scheduling providers with other providers is not in scope for this IG, </w:t>
      </w:r>
      <w:r w:rsidR="00D200D6">
        <w:t xml:space="preserve">how will this be solved?  </w:t>
      </w:r>
      <w:r w:rsidR="005F00C6">
        <w:t xml:space="preserve">  </w:t>
      </w:r>
      <w:r>
        <w:t xml:space="preserve">  </w:t>
      </w:r>
    </w:p>
    <w:p w14:paraId="51799305" w14:textId="77777777" w:rsidR="1DD29868" w:rsidRDefault="1DD29868" w:rsidP="1DD29868">
      <w:pPr>
        <w:ind w:left="1440"/>
        <w:rPr>
          <w:rStyle w:val="Emphasis"/>
          <w:rFonts w:ascii="Verdana" w:hAnsi="Verdana"/>
          <w:i w:val="0"/>
          <w:iCs w:val="0"/>
          <w:color w:val="333333"/>
          <w:sz w:val="18"/>
          <w:szCs w:val="18"/>
        </w:rPr>
      </w:pPr>
    </w:p>
    <w:p w14:paraId="4009FC63" w14:textId="77777777" w:rsidR="00FC4CBF" w:rsidRDefault="00281BAC" w:rsidP="008E20BE">
      <w:pPr>
        <w:pStyle w:val="ListParagraph"/>
        <w:numPr>
          <w:ilvl w:val="1"/>
          <w:numId w:val="1"/>
        </w:numPr>
      </w:pPr>
      <w:r>
        <w:t>Diagram Revisions:</w:t>
      </w:r>
    </w:p>
    <w:p w14:paraId="5A242613" w14:textId="77777777" w:rsidR="00FC4CBF" w:rsidRDefault="00FC4CBF" w:rsidP="00FC4CBF">
      <w:pPr>
        <w:pStyle w:val="ListParagraph"/>
        <w:ind w:left="1440"/>
      </w:pPr>
    </w:p>
    <w:p w14:paraId="429F7E74" w14:textId="7BC2F863" w:rsidR="00D72A28" w:rsidRDefault="00B43482" w:rsidP="00D72A28">
      <w:pPr>
        <w:pStyle w:val="ListParagraph"/>
        <w:ind w:left="1440"/>
      </w:pPr>
      <w:r w:rsidRPr="00B43482">
        <w:rPr>
          <w:b/>
          <w:bCs/>
        </w:rPr>
        <w:t>11/8 BCBSA:</w:t>
      </w:r>
      <w:r>
        <w:rPr>
          <w:b/>
          <w:bCs/>
        </w:rPr>
        <w:t xml:space="preserve"> </w:t>
      </w:r>
      <w:r w:rsidR="00D72A28">
        <w:t>The term ‘payer’s intermediary’ is inaccurate</w:t>
      </w:r>
      <w:bookmarkStart w:id="4" w:name="OLE_LINK9"/>
      <w:r w:rsidR="00D72A28">
        <w:t xml:space="preserve">.  The payer or the provider may have the relationship with the intermediary.  Some payers do not contract with a clearinghouse; others do.  Providers can either contract with a Practice Management system who has the relationship with the clearinghouse or in some cases contracts directly with the clearinghouse through their Practice Management software.  </w:t>
      </w:r>
      <w:bookmarkEnd w:id="4"/>
    </w:p>
    <w:p w14:paraId="01BFDC6A" w14:textId="77777777" w:rsidR="00D72A28" w:rsidRDefault="00D72A28" w:rsidP="00D72A28">
      <w:pPr>
        <w:pStyle w:val="ListParagraph"/>
        <w:ind w:left="1440"/>
      </w:pPr>
    </w:p>
    <w:p w14:paraId="2325330C" w14:textId="235653C4" w:rsidR="00FD07DB" w:rsidRDefault="00FD07DB" w:rsidP="00FD07DB">
      <w:pPr>
        <w:pStyle w:val="ListParagraph"/>
        <w:ind w:left="1440"/>
      </w:pPr>
      <w:r>
        <w:t xml:space="preserve">The Optional FHIR-X12 translation box </w:t>
      </w:r>
      <w:r w:rsidR="00C91BA4">
        <w:t>could</w:t>
      </w:r>
      <w:r w:rsidR="00D72A28">
        <w:t xml:space="preserve"> be removed.  </w:t>
      </w:r>
      <w:r>
        <w:t>If an Intermediary is used</w:t>
      </w:r>
      <w:r w:rsidR="00C91BA4">
        <w:t xml:space="preserve"> by the payer</w:t>
      </w:r>
      <w:r>
        <w:t xml:space="preserve">, it would be an agent of the payer.  The IG doesn’t call out provider agents.  Using agents is an implementation decision of the provider and the payer.   </w:t>
      </w:r>
    </w:p>
    <w:p w14:paraId="22C2B84D" w14:textId="77777777" w:rsidR="00FD07DB" w:rsidRDefault="00FD07DB" w:rsidP="00FC4CBF">
      <w:pPr>
        <w:pStyle w:val="ListParagraph"/>
        <w:ind w:left="1440"/>
        <w:rPr>
          <w:b/>
          <w:bCs/>
        </w:rPr>
      </w:pPr>
    </w:p>
    <w:p w14:paraId="155CA354" w14:textId="77777777" w:rsidR="00FC4CBF" w:rsidRDefault="00FC4CBF" w:rsidP="00FC4CBF">
      <w:pPr>
        <w:pStyle w:val="ListParagraph"/>
        <w:ind w:left="1440"/>
      </w:pPr>
    </w:p>
    <w:p w14:paraId="7D5A576C" w14:textId="77777777" w:rsidR="00D72A28" w:rsidRDefault="00D72A28" w:rsidP="00FC4CBF">
      <w:pPr>
        <w:pStyle w:val="ListParagraph"/>
        <w:ind w:left="1440"/>
      </w:pPr>
      <w:r>
        <w:lastRenderedPageBreak/>
        <w:t xml:space="preserve">If the decision is to keep the reference to an X12 intermediary, make the diagram more generic:  </w:t>
      </w:r>
    </w:p>
    <w:p w14:paraId="524E1626" w14:textId="414DA341" w:rsidR="00D72A28" w:rsidRDefault="00FC4CBF" w:rsidP="00C91BA4">
      <w:pPr>
        <w:ind w:left="2160"/>
      </w:pPr>
      <w:r>
        <w:t>Remove the gray box; update ‘Payer’s Intermediary’ to be ‘Payer / Provider’s Intermediary’</w:t>
      </w:r>
      <w:r w:rsidR="00D200D6">
        <w:t xml:space="preserve">.  </w:t>
      </w:r>
    </w:p>
    <w:p w14:paraId="0CC0A071" w14:textId="77777777" w:rsidR="00C91BA4" w:rsidRDefault="00C91BA4" w:rsidP="00C91BA4">
      <w:pPr>
        <w:ind w:left="2160"/>
      </w:pPr>
      <w:r>
        <w:t xml:space="preserve">It </w:t>
      </w:r>
      <w:r w:rsidR="00FC4CBF">
        <w:t>conveys that if the payer decides to provide the provider an AEOB, it would go through the intermediary, which is not a requirement.</w:t>
      </w:r>
    </w:p>
    <w:p w14:paraId="30889469" w14:textId="77777777" w:rsidR="00C91BA4" w:rsidRDefault="00C91BA4" w:rsidP="00C91BA4">
      <w:pPr>
        <w:pStyle w:val="ListParagraph"/>
        <w:ind w:left="2160"/>
      </w:pPr>
      <w:r>
        <w:t>Change ‘gfe-submit response (FHIR)’ in data flow #2 to dash to depict that it is optional.</w:t>
      </w:r>
    </w:p>
    <w:p w14:paraId="36789292" w14:textId="4C4BABED" w:rsidR="00281BAC" w:rsidRDefault="006B1734" w:rsidP="00C91BA4">
      <w:pPr>
        <w:ind w:left="2160"/>
      </w:pPr>
      <w:r>
        <w:t>The version dated 11/11</w:t>
      </w:r>
      <w:r w:rsidR="00D72A28">
        <w:t xml:space="preserve"> shows the patient accessing the AEOB through the intermediary.  This is inaccurate.  Modify the diagram accordingly. The lines should be dotted to show that the payer to patient AEOB FHIR transaction is optional.  The description of 11/8 showed that the patient may receive the EOBs via payer’s portal or mail.  This needs to be re-added.  </w:t>
      </w:r>
    </w:p>
    <w:p w14:paraId="60AE3664" w14:textId="46BAAC71" w:rsidR="005F00C6" w:rsidRDefault="00FC4CBF" w:rsidP="00C91BA4">
      <w:pPr>
        <w:pStyle w:val="ListParagraph"/>
        <w:ind w:left="2160"/>
      </w:pPr>
      <w:r>
        <w:t>Add a note to diagram flow #5 to reflect #5’s verbiage above</w:t>
      </w:r>
      <w:r w:rsidR="00BA58B9">
        <w:t xml:space="preserve"> the diagram</w:t>
      </w:r>
      <w:r w:rsidR="00871CD8">
        <w:t xml:space="preserve"> to note that the FHIR transaction is optional </w:t>
      </w:r>
      <w:r w:rsidR="00871CD8" w:rsidRPr="00871CD8">
        <w:rPr>
          <w:b/>
          <w:i/>
        </w:rPr>
        <w:t xml:space="preserve">[in reviewing the IG on 11/11… </w:t>
      </w:r>
      <w:r w:rsidR="00B43482" w:rsidRPr="00871CD8">
        <w:rPr>
          <w:b/>
          <w:i/>
        </w:rPr>
        <w:t xml:space="preserve"> </w:t>
      </w:r>
      <w:r w:rsidR="00871CD8" w:rsidRPr="00871CD8">
        <w:rPr>
          <w:b/>
          <w:i/>
        </w:rPr>
        <w:t>it looks like today’s version has reverted back to a version prior to 11/8 as on 11/11, #5 flow and verbiage is not there]</w:t>
      </w:r>
      <w:r w:rsidR="00871CD8">
        <w:t xml:space="preserve"> </w:t>
      </w:r>
    </w:p>
    <w:p w14:paraId="1669888D" w14:textId="77777777" w:rsidR="5A7645FD" w:rsidRDefault="00BA58B9" w:rsidP="00BA58B9">
      <w:pPr>
        <w:ind w:left="1440"/>
      </w:pPr>
      <w:r>
        <w:t xml:space="preserve">[BCBSA 9/28] </w:t>
      </w:r>
      <w:r w:rsidR="5A7645FD">
        <w:t>Add that the payer provides the data to a 3</w:t>
      </w:r>
      <w:r w:rsidR="5A7645FD" w:rsidRPr="1DD29868">
        <w:rPr>
          <w:vertAlign w:val="superscript"/>
        </w:rPr>
        <w:t>rd</w:t>
      </w:r>
      <w:r w:rsidR="5A7645FD">
        <w:t xml:space="preserve"> party app who provides it to the patient. </w:t>
      </w:r>
    </w:p>
    <w:p w14:paraId="69A8441D" w14:textId="77777777" w:rsidR="5A7645FD" w:rsidRDefault="5A7645FD" w:rsidP="1DD29868">
      <w:pPr>
        <w:ind w:left="720" w:firstLine="720"/>
        <w:rPr>
          <w:color w:val="FF0000"/>
        </w:rPr>
      </w:pPr>
      <w:r w:rsidRPr="28C972C2">
        <w:rPr>
          <w:color w:val="FF0000"/>
        </w:rPr>
        <w:t xml:space="preserve"> </w:t>
      </w:r>
      <w:r w:rsidR="00FC4CBF">
        <w:rPr>
          <w:color w:val="FF0000"/>
        </w:rPr>
        <w:t xml:space="preserve">[MITRE] </w:t>
      </w:r>
      <w:r w:rsidRPr="28C972C2">
        <w:rPr>
          <w:color w:val="FF0000"/>
        </w:rPr>
        <w:t>Good suggestion, we can add that.</w:t>
      </w:r>
      <w:r w:rsidR="5BE7C94D" w:rsidRPr="28C972C2">
        <w:rPr>
          <w:color w:val="FF0000"/>
        </w:rPr>
        <w:t xml:space="preserve"> </w:t>
      </w:r>
    </w:p>
    <w:p w14:paraId="774A03E5" w14:textId="54C02C20" w:rsidR="00FC4CBF" w:rsidRPr="00FC4CBF" w:rsidRDefault="00281BAC" w:rsidP="00281BAC">
      <w:pPr>
        <w:ind w:left="720" w:firstLine="720"/>
      </w:pPr>
      <w:r>
        <w:t xml:space="preserve">--  </w:t>
      </w:r>
      <w:r w:rsidR="00B43482" w:rsidRPr="00B43482">
        <w:rPr>
          <w:b/>
          <w:bCs/>
        </w:rPr>
        <w:t>11/8 BCBSA:</w:t>
      </w:r>
      <w:r>
        <w:t xml:space="preserve"> </w:t>
      </w:r>
      <w:r w:rsidR="00FC4CBF">
        <w:t xml:space="preserve">As of 11/8 it was not added.  </w:t>
      </w:r>
    </w:p>
    <w:p w14:paraId="6D844F97" w14:textId="77777777" w:rsidR="1DD29868" w:rsidRDefault="1DD29868" w:rsidP="1DD29868">
      <w:pPr>
        <w:pStyle w:val="ListParagraph"/>
        <w:ind w:left="1440"/>
      </w:pPr>
    </w:p>
    <w:p w14:paraId="07EE472D" w14:textId="77777777" w:rsidR="00EE291B" w:rsidRDefault="00EE291B" w:rsidP="00BB0672">
      <w:pPr>
        <w:pStyle w:val="Heading2"/>
      </w:pPr>
      <w:r w:rsidRPr="00EE291B">
        <w:rPr>
          <w:rStyle w:val="Heading2Char"/>
        </w:rPr>
        <w:t>Section 3.3:  US Core</w:t>
      </w:r>
      <w:r>
        <w:t xml:space="preserve"> </w:t>
      </w:r>
      <w:r w:rsidRPr="004D6D69">
        <w:rPr>
          <w:sz w:val="22"/>
        </w:rPr>
        <w:t>(</w:t>
      </w:r>
      <w:hyperlink r:id="rId12" w:anchor="us-core" w:history="1">
        <w:r w:rsidRPr="004D6D69">
          <w:rPr>
            <w:sz w:val="22"/>
          </w:rPr>
          <w:t>https://build.fhir.org/ig/HL7/davinci-pct/underlying_technologies.html#us-core</w:t>
        </w:r>
      </w:hyperlink>
      <w:r w:rsidRPr="004D6D69">
        <w:rPr>
          <w:sz w:val="22"/>
        </w:rPr>
        <w:t>)</w:t>
      </w:r>
    </w:p>
    <w:p w14:paraId="5B2D2B70" w14:textId="70E870C5" w:rsidR="00161DF4" w:rsidRPr="00162FD3" w:rsidRDefault="00EE291B" w:rsidP="00161DF4">
      <w:pPr>
        <w:pStyle w:val="ListParagraph"/>
        <w:numPr>
          <w:ilvl w:val="0"/>
          <w:numId w:val="13"/>
        </w:numPr>
      </w:pPr>
      <w:r>
        <w:t xml:space="preserve"> </w:t>
      </w:r>
      <w:r w:rsidR="00B43482" w:rsidRPr="00B43482">
        <w:rPr>
          <w:b/>
          <w:bCs/>
        </w:rPr>
        <w:t>11/8 BCBSA:</w:t>
      </w:r>
      <w:r w:rsidR="00B43482">
        <w:rPr>
          <w:b/>
          <w:bCs/>
        </w:rPr>
        <w:t xml:space="preserve"> </w:t>
      </w:r>
      <w:r w:rsidR="00161DF4">
        <w:t>RE ‘</w:t>
      </w:r>
      <w:r w:rsidR="00161DF4" w:rsidRPr="004545A1">
        <w:t>Provider billing and payer claims adjudication systems SHALL use the specification defined by US Core in exchanging information with payers. Implementers should be familiar with this specification</w:t>
      </w:r>
      <w:r w:rsidR="00161DF4">
        <w:t>’, Before the SHALL add: ‘for those resources defined by US Core’.  At the end add:  ‘Claim Resources are not defined by US Core’</w:t>
      </w:r>
    </w:p>
    <w:p w14:paraId="6EE85A53" w14:textId="77777777" w:rsidR="00EE291B" w:rsidRDefault="00EE291B" w:rsidP="00EE291B">
      <w:pPr>
        <w:pStyle w:val="ListParagraph"/>
        <w:ind w:left="360"/>
      </w:pPr>
    </w:p>
    <w:p w14:paraId="62DE1EE8" w14:textId="77777777" w:rsidR="00861FBE" w:rsidRDefault="00861FBE" w:rsidP="00861FBE">
      <w:pPr>
        <w:pStyle w:val="Heading1"/>
      </w:pPr>
      <w:r>
        <w:t xml:space="preserve">PCT </w:t>
      </w:r>
      <w:r w:rsidR="00984C17">
        <w:t>Specification</w:t>
      </w:r>
    </w:p>
    <w:p w14:paraId="7E5494C0" w14:textId="77777777" w:rsidR="00161DF4" w:rsidRDefault="00161DF4" w:rsidP="00161DF4">
      <w:pPr>
        <w:pStyle w:val="Heading2"/>
      </w:pPr>
      <w:r>
        <w:t>Relationship to other IGs</w:t>
      </w:r>
    </w:p>
    <w:p w14:paraId="0DDB8E3A" w14:textId="5CE6CE19" w:rsidR="00161DF4" w:rsidRDefault="00B43482" w:rsidP="00161DF4">
      <w:pPr>
        <w:pStyle w:val="ListParagraph"/>
        <w:numPr>
          <w:ilvl w:val="0"/>
          <w:numId w:val="14"/>
        </w:numPr>
      </w:pPr>
      <w:r w:rsidRPr="00B43482">
        <w:rPr>
          <w:b/>
          <w:bCs/>
        </w:rPr>
        <w:t>11/8 BCBSA:</w:t>
      </w:r>
      <w:r>
        <w:rPr>
          <w:b/>
          <w:bCs/>
        </w:rPr>
        <w:t xml:space="preserve"> </w:t>
      </w:r>
      <w:r w:rsidR="00161DF4">
        <w:t xml:space="preserve">PCT Specification –&gt; Relationship to Other IGs takes one to a subtopic, 4.1.6, that speaks to US Core, which is Section 3.3.  Consolidate the two </w:t>
      </w:r>
      <w:r w:rsidR="00861FBE">
        <w:t>sections</w:t>
      </w:r>
    </w:p>
    <w:p w14:paraId="3AEBFFF1" w14:textId="77777777" w:rsidR="00861FBE" w:rsidRDefault="00861FBE" w:rsidP="00861FBE">
      <w:pPr>
        <w:pStyle w:val="ListParagraph"/>
        <w:ind w:left="1080"/>
      </w:pPr>
    </w:p>
    <w:p w14:paraId="0AC69539" w14:textId="5D40F4D7" w:rsidR="005A74D2" w:rsidRDefault="00162FD3" w:rsidP="00161DF4">
      <w:pPr>
        <w:pStyle w:val="ListParagraph"/>
        <w:numPr>
          <w:ilvl w:val="0"/>
          <w:numId w:val="14"/>
        </w:numPr>
      </w:pPr>
      <w:r>
        <w:t xml:space="preserve"> </w:t>
      </w:r>
      <w:r w:rsidR="004545A1" w:rsidRPr="00B43482">
        <w:rPr>
          <w:b/>
          <w:bCs/>
        </w:rPr>
        <w:t>9/28</w:t>
      </w:r>
      <w:r w:rsidR="00B43482" w:rsidRPr="00B43482">
        <w:rPr>
          <w:b/>
          <w:bCs/>
        </w:rPr>
        <w:t xml:space="preserve"> BCBSA</w:t>
      </w:r>
      <w:r w:rsidR="004545A1" w:rsidRPr="00B43482">
        <w:rPr>
          <w:b/>
          <w:bCs/>
        </w:rPr>
        <w:t>:</w:t>
      </w:r>
      <w:r w:rsidR="004545A1">
        <w:t xml:space="preserve">  </w:t>
      </w:r>
      <w:r w:rsidR="005A74D2">
        <w:t>Recommend adding this IG’s relationship to the CARIN IG for Blue Button®</w:t>
      </w:r>
    </w:p>
    <w:p w14:paraId="7F5768EB" w14:textId="4F0A9BF4" w:rsidR="1DD29868" w:rsidRDefault="004D6D69" w:rsidP="28C972C2">
      <w:pPr>
        <w:ind w:left="1440"/>
        <w:rPr>
          <w:color w:val="FF0000"/>
        </w:rPr>
      </w:pPr>
      <w:r>
        <w:rPr>
          <w:color w:val="FF0000"/>
        </w:rPr>
        <w:lastRenderedPageBreak/>
        <w:t>[</w:t>
      </w:r>
      <w:r w:rsidR="00B43482">
        <w:rPr>
          <w:color w:val="FF0000"/>
        </w:rPr>
        <w:t xml:space="preserve">10/8 </w:t>
      </w:r>
      <w:r>
        <w:rPr>
          <w:color w:val="FF0000"/>
        </w:rPr>
        <w:t xml:space="preserve">MITRE] </w:t>
      </w:r>
      <w:r w:rsidR="54AC0795" w:rsidRPr="28C972C2">
        <w:rPr>
          <w:color w:val="FF0000"/>
        </w:rPr>
        <w:t xml:space="preserve">Other than the </w:t>
      </w:r>
      <w:r w:rsidR="46AE0B38" w:rsidRPr="28C972C2">
        <w:rPr>
          <w:color w:val="FF0000"/>
        </w:rPr>
        <w:t xml:space="preserve">current </w:t>
      </w:r>
      <w:r w:rsidR="54AC0795" w:rsidRPr="28C972C2">
        <w:rPr>
          <w:color w:val="FF0000"/>
        </w:rPr>
        <w:t xml:space="preserve">use of the some </w:t>
      </w:r>
      <w:r w:rsidR="18CC8832" w:rsidRPr="28C972C2">
        <w:rPr>
          <w:color w:val="FF0000"/>
        </w:rPr>
        <w:t>CARIN</w:t>
      </w:r>
      <w:r w:rsidR="54AC0795" w:rsidRPr="28C972C2">
        <w:rPr>
          <w:color w:val="FF0000"/>
        </w:rPr>
        <w:t xml:space="preserve"> value sets what is the relationship</w:t>
      </w:r>
      <w:r w:rsidR="19B7832B" w:rsidRPr="28C972C2">
        <w:rPr>
          <w:color w:val="FF0000"/>
        </w:rPr>
        <w:t xml:space="preserve"> CARIN IG for Blue Button®</w:t>
      </w:r>
      <w:r w:rsidR="54AC0795" w:rsidRPr="28C972C2">
        <w:rPr>
          <w:color w:val="FF0000"/>
        </w:rPr>
        <w:t>?</w:t>
      </w:r>
      <w:r w:rsidR="0F8ABA48" w:rsidRPr="28C972C2">
        <w:rPr>
          <w:color w:val="FF0000"/>
        </w:rPr>
        <w:t xml:space="preserve">  </w:t>
      </w:r>
    </w:p>
    <w:p w14:paraId="3DCCA68C" w14:textId="77777777" w:rsidR="00B43482" w:rsidRDefault="00B43482" w:rsidP="004D6D69">
      <w:pPr>
        <w:ind w:left="1440"/>
        <w:rPr>
          <w:b/>
          <w:bCs/>
        </w:rPr>
      </w:pPr>
      <w:r w:rsidRPr="00B43482">
        <w:rPr>
          <w:b/>
          <w:bCs/>
        </w:rPr>
        <w:t>11/8 BCBSA:</w:t>
      </w:r>
    </w:p>
    <w:p w14:paraId="57610EEF" w14:textId="3F446467" w:rsidR="004D6D69" w:rsidRDefault="004D6D69" w:rsidP="004D6D69">
      <w:pPr>
        <w:ind w:left="1440"/>
      </w:pPr>
      <w:r w:rsidRPr="004D6D69">
        <w:t xml:space="preserve">-- </w:t>
      </w:r>
      <w:r>
        <w:t xml:space="preserve">For those data elements common to PCT and CARIN, we would expect to see the same mapping of the </w:t>
      </w:r>
      <w:r w:rsidR="00162FD3">
        <w:t xml:space="preserve">PCT </w:t>
      </w:r>
      <w:r>
        <w:t xml:space="preserve">data elements </w:t>
      </w:r>
      <w:r w:rsidR="00162FD3">
        <w:t>to the CARIN profiles and data elements</w:t>
      </w:r>
    </w:p>
    <w:p w14:paraId="4186C190" w14:textId="77777777" w:rsidR="00162FD3" w:rsidRDefault="00162FD3" w:rsidP="004D6D69">
      <w:pPr>
        <w:ind w:left="1440"/>
      </w:pPr>
      <w:r>
        <w:t>-- Unless the use cases call for different Value Sets, we would expect both to be the same</w:t>
      </w:r>
    </w:p>
    <w:p w14:paraId="69BC89E0" w14:textId="69F9A404" w:rsidR="00162FD3" w:rsidRDefault="00162FD3" w:rsidP="004D6D69">
      <w:pPr>
        <w:ind w:left="1440"/>
      </w:pPr>
      <w:r>
        <w:t xml:space="preserve">-- We </w:t>
      </w:r>
      <w:r w:rsidR="00615C76">
        <w:t xml:space="preserve">advocate that </w:t>
      </w:r>
      <w:r>
        <w:t xml:space="preserve">the PCT AEOB </w:t>
      </w:r>
      <w:r w:rsidR="00615C76">
        <w:t xml:space="preserve">leverage </w:t>
      </w:r>
      <w:r>
        <w:t xml:space="preserve">the CARIN IG; </w:t>
      </w:r>
      <w:r w:rsidR="00615C76">
        <w:t>reference feedback in section 2.1.2</w:t>
      </w:r>
      <w:r>
        <w:t>.</w:t>
      </w:r>
    </w:p>
    <w:p w14:paraId="01024B0B" w14:textId="77777777" w:rsidR="004545A1" w:rsidRDefault="004545A1" w:rsidP="004D6D69">
      <w:pPr>
        <w:ind w:left="1440"/>
      </w:pPr>
      <w:r>
        <w:t>-- Search parameters would be defined as applicable to each use case</w:t>
      </w:r>
    </w:p>
    <w:p w14:paraId="5005915A" w14:textId="4F7DD0F0" w:rsidR="005A74D2" w:rsidRDefault="00162FD3" w:rsidP="00161DF4">
      <w:pPr>
        <w:pStyle w:val="ListParagraph"/>
        <w:numPr>
          <w:ilvl w:val="0"/>
          <w:numId w:val="14"/>
        </w:numPr>
      </w:pPr>
      <w:r>
        <w:t xml:space="preserve"> </w:t>
      </w:r>
      <w:r w:rsidR="004545A1" w:rsidRPr="00B43482">
        <w:rPr>
          <w:b/>
          <w:bCs/>
        </w:rPr>
        <w:t>9/28</w:t>
      </w:r>
      <w:r w:rsidR="00B43482" w:rsidRPr="00B43482">
        <w:rPr>
          <w:b/>
          <w:bCs/>
        </w:rPr>
        <w:t xml:space="preserve"> BCBSA</w:t>
      </w:r>
      <w:r w:rsidR="004545A1" w:rsidRPr="00B43482">
        <w:rPr>
          <w:b/>
          <w:bCs/>
        </w:rPr>
        <w:t>:</w:t>
      </w:r>
      <w:r w:rsidR="004545A1">
        <w:t xml:space="preserve">  </w:t>
      </w:r>
      <w:r w:rsidR="005A74D2">
        <w:t xml:space="preserve">Add a relationship diagram similar to the one in the </w:t>
      </w:r>
      <w:hyperlink r:id="rId13" w:anchor="us-core">
        <w:r w:rsidR="005A74D2" w:rsidRPr="1DD29868">
          <w:rPr>
            <w:rStyle w:val="Hyperlink"/>
          </w:rPr>
          <w:t>CARIN IG</w:t>
        </w:r>
      </w:hyperlink>
      <w:r w:rsidR="005A74D2">
        <w:t>.</w:t>
      </w:r>
    </w:p>
    <w:p w14:paraId="00A617EC" w14:textId="510F276D" w:rsidR="00B53584" w:rsidRDefault="00162FD3" w:rsidP="28C972C2">
      <w:pPr>
        <w:ind w:left="720" w:firstLine="720"/>
        <w:rPr>
          <w:color w:val="FF0000"/>
        </w:rPr>
      </w:pPr>
      <w:r>
        <w:rPr>
          <w:color w:val="FF0000"/>
        </w:rPr>
        <w:t>[</w:t>
      </w:r>
      <w:r w:rsidR="00B43482">
        <w:rPr>
          <w:color w:val="FF0000"/>
        </w:rPr>
        <w:t xml:space="preserve">10/8 </w:t>
      </w:r>
      <w:r>
        <w:rPr>
          <w:color w:val="FF0000"/>
        </w:rPr>
        <w:t xml:space="preserve">MITRE} </w:t>
      </w:r>
      <w:r w:rsidR="5394835B" w:rsidRPr="28C972C2">
        <w:rPr>
          <w:color w:val="FF0000"/>
        </w:rPr>
        <w:t xml:space="preserve">Good suggestion, I think we can add this to the TODO list. </w:t>
      </w:r>
    </w:p>
    <w:p w14:paraId="7EF058BA" w14:textId="2436174B" w:rsidR="004545A1" w:rsidRDefault="00162FD3" w:rsidP="00162FD3">
      <w:r>
        <w:tab/>
      </w:r>
      <w:r>
        <w:tab/>
        <w:t xml:space="preserve">-- </w:t>
      </w:r>
      <w:r w:rsidR="00B43482" w:rsidRPr="00B43482">
        <w:rPr>
          <w:b/>
          <w:bCs/>
        </w:rPr>
        <w:t>11/8 BCBSA:</w:t>
      </w:r>
      <w:r w:rsidR="00B43482">
        <w:rPr>
          <w:b/>
          <w:bCs/>
        </w:rPr>
        <w:t xml:space="preserve"> </w:t>
      </w:r>
      <w:r>
        <w:t>as of 11/8, it’s not in the IG</w:t>
      </w:r>
    </w:p>
    <w:p w14:paraId="18FDD95D" w14:textId="77777777" w:rsidR="004939C9" w:rsidRDefault="00476152" w:rsidP="00861FBE">
      <w:pPr>
        <w:pStyle w:val="Heading2"/>
      </w:pPr>
      <w:r>
        <w:t>Section 2 Use Cases</w:t>
      </w:r>
      <w:r w:rsidR="00B4234A">
        <w:t xml:space="preserve"> and Overview</w:t>
      </w:r>
    </w:p>
    <w:p w14:paraId="6588C6EA" w14:textId="267AB9C0" w:rsidR="00476152" w:rsidRDefault="004939C9" w:rsidP="004939C9">
      <w:r w:rsidRPr="00B43482">
        <w:rPr>
          <w:b/>
          <w:bCs/>
        </w:rPr>
        <w:t>11/8 BCBSA:</w:t>
      </w:r>
      <w:r>
        <w:rPr>
          <w:b/>
          <w:bCs/>
        </w:rPr>
        <w:t xml:space="preserve"> </w:t>
      </w:r>
      <w:r w:rsidR="00B4234A">
        <w:t>(the red ribbon drop down shows Overview and Use Cases – they should be the same</w:t>
      </w:r>
      <w:r w:rsidR="00476152">
        <w:t xml:space="preserve"> </w:t>
      </w:r>
      <w:hyperlink r:id="rId14" w:anchor="use-cases-and-overview" w:history="1">
        <w:r w:rsidR="00476152" w:rsidRPr="00476152">
          <w:rPr>
            <w:rStyle w:val="Hyperlink"/>
          </w:rPr>
          <w:t>https://build.fhir.org/ig/HL7/davinci-pct/use_cases.html#use-cases-and-overview</w:t>
        </w:r>
      </w:hyperlink>
      <w:r w:rsidR="00476152" w:rsidRPr="00476152">
        <w:t xml:space="preserve"> </w:t>
      </w:r>
    </w:p>
    <w:p w14:paraId="7D21FF42" w14:textId="77777777" w:rsidR="00615C76" w:rsidRPr="00615C76" w:rsidRDefault="00615C76" w:rsidP="00615C76"/>
    <w:p w14:paraId="4B43E13D" w14:textId="022CFD4D" w:rsidR="00861FBE" w:rsidRDefault="00861FBE" w:rsidP="006B1734">
      <w:pPr>
        <w:pStyle w:val="Heading3"/>
      </w:pPr>
      <w:r w:rsidRPr="00D72A28">
        <w:rPr>
          <w:rStyle w:val="Heading3Char"/>
        </w:rPr>
        <w:t>Section 2.1.1</w:t>
      </w:r>
      <w:r>
        <w:t xml:space="preserve"> </w:t>
      </w:r>
      <w:hyperlink r:id="rId15" w:anchor="submit-aeob-request-to-payer" w:history="1">
        <w:r w:rsidRPr="0026157F">
          <w:rPr>
            <w:rStyle w:val="Hyperlink"/>
          </w:rPr>
          <w:t>https://build.fhir.org/ig/HL7/davinci-pct/use_cases.html#submit-aeob-request-to-payer</w:t>
        </w:r>
      </w:hyperlink>
      <w:r w:rsidRPr="0026157F">
        <w:t xml:space="preserve"> </w:t>
      </w:r>
      <w:r>
        <w:t xml:space="preserve"> </w:t>
      </w:r>
      <w:r w:rsidRPr="00861FBE">
        <w:t xml:space="preserve"> </w:t>
      </w:r>
      <w:r w:rsidR="004939C9" w:rsidRPr="00B43482">
        <w:rPr>
          <w:b/>
          <w:bCs/>
        </w:rPr>
        <w:t>11/8 BCBSA:</w:t>
      </w:r>
      <w:r w:rsidR="004939C9">
        <w:rPr>
          <w:b/>
          <w:bCs/>
        </w:rPr>
        <w:t xml:space="preserve">  </w:t>
      </w:r>
      <w:r>
        <w:t>Make the same changes described in Section 1.1 – Overview</w:t>
      </w:r>
    </w:p>
    <w:p w14:paraId="724AA037" w14:textId="77777777" w:rsidR="00615C76" w:rsidRPr="00615C76" w:rsidRDefault="00615C76" w:rsidP="00615C76"/>
    <w:p w14:paraId="171D5A9E" w14:textId="77777777" w:rsidR="00D72A28" w:rsidRDefault="00861FBE" w:rsidP="006B1734">
      <w:pPr>
        <w:pStyle w:val="Heading3"/>
      </w:pPr>
      <w:r w:rsidRPr="00D72A28">
        <w:rPr>
          <w:rStyle w:val="Heading3Char"/>
        </w:rPr>
        <w:t>Section 2.1.2</w:t>
      </w:r>
      <w:r>
        <w:t xml:space="preserve"> </w:t>
      </w:r>
      <w:hyperlink r:id="rId16" w:anchor="get-completed-aeob-from-payer" w:history="1">
        <w:r w:rsidRPr="00D72A28">
          <w:rPr>
            <w:rStyle w:val="Hyperlink"/>
            <w:sz w:val="20"/>
          </w:rPr>
          <w:t>https://build.fhir.org/ig/HL7/davinci-pct/use_cases.html#get-completed-aeob-from-payer</w:t>
        </w:r>
      </w:hyperlink>
      <w:r w:rsidR="0026157F" w:rsidRPr="00D72A28">
        <w:rPr>
          <w:rStyle w:val="Hyperlink"/>
          <w:sz w:val="20"/>
        </w:rPr>
        <w:t>.</w:t>
      </w:r>
      <w:r w:rsidRPr="0026157F">
        <w:t xml:space="preserve"> </w:t>
      </w:r>
      <w:r w:rsidR="00476152">
        <w:t xml:space="preserve"> </w:t>
      </w:r>
    </w:p>
    <w:p w14:paraId="0845A787" w14:textId="5D9ACFA8" w:rsidR="004939C9" w:rsidRDefault="004939C9" w:rsidP="004939C9">
      <w:pPr>
        <w:rPr>
          <w:b/>
          <w:bCs/>
        </w:rPr>
      </w:pPr>
      <w:r w:rsidRPr="00B43482">
        <w:rPr>
          <w:b/>
          <w:bCs/>
        </w:rPr>
        <w:t>11/8 BCBSA:</w:t>
      </w:r>
      <w:r>
        <w:rPr>
          <w:b/>
          <w:bCs/>
        </w:rPr>
        <w:t xml:space="preserve">  </w:t>
      </w:r>
    </w:p>
    <w:p w14:paraId="0624C006" w14:textId="429D16E7" w:rsidR="00861FBE" w:rsidRDefault="00615C76" w:rsidP="004939C9">
      <w:r>
        <w:t>Why is the PCT IG</w:t>
      </w:r>
      <w:r w:rsidR="0026157F">
        <w:t xml:space="preserve"> defining a new profile / API for the AEOB?  If it is implemented by payers and 3</w:t>
      </w:r>
      <w:r w:rsidR="0026157F" w:rsidRPr="0026157F">
        <w:rPr>
          <w:vertAlign w:val="superscript"/>
        </w:rPr>
        <w:t>rd</w:t>
      </w:r>
      <w:r w:rsidR="0026157F">
        <w:t xml:space="preserve"> party developers, it will require them to write new code</w:t>
      </w:r>
      <w:r>
        <w:t xml:space="preserve"> separate from the EOBs they developed for the Patient Access API</w:t>
      </w:r>
      <w:r w:rsidR="0026157F">
        <w:t>.  Couldn’t the CARIN BB IG be adapted to provide the AEOB?  At fir</w:t>
      </w:r>
      <w:r>
        <w:t xml:space="preserve">st glance, it would require 1) </w:t>
      </w:r>
      <w:r w:rsidR="005F35DF">
        <w:t>requiring the value ‘predetermination’</w:t>
      </w:r>
      <w:r>
        <w:t xml:space="preserve"> EOB.use, 2) defining extensions to allow verbiage for out-of-network providers, </w:t>
      </w:r>
      <w:r w:rsidRPr="00BC230A">
        <w:t>whether a service is subject to medical management and relevant disclaimers of estimates</w:t>
      </w:r>
      <w:r>
        <w:t xml:space="preserve"> with invariants that they are to be used when the value of EOB.use is </w:t>
      </w:r>
      <w:r w:rsidR="005F35DF">
        <w:t xml:space="preserve">‘predetermination’ </w:t>
      </w:r>
      <w:r>
        <w:t xml:space="preserve">3) reviewing the cardinality of the CARIN IG to determine if different cardinalities should be defined for the Advanced EOB.  </w:t>
      </w:r>
    </w:p>
    <w:p w14:paraId="4AE75802" w14:textId="77777777" w:rsidR="00ED5BC6" w:rsidRPr="00ED5BC6" w:rsidRDefault="00ED5BC6" w:rsidP="00ED5BC6"/>
    <w:p w14:paraId="2828168D" w14:textId="77777777" w:rsidR="00A24DD1" w:rsidRDefault="00A24DD1" w:rsidP="00A24DD1">
      <w:pPr>
        <w:pStyle w:val="Heading3"/>
      </w:pPr>
      <w:r>
        <w:t xml:space="preserve">Section 2.1.3 Example </w:t>
      </w:r>
      <w:hyperlink r:id="rId17" w:anchor="example" w:history="1">
        <w:r w:rsidRPr="00D72A28">
          <w:rPr>
            <w:rStyle w:val="Hyperlink"/>
            <w:sz w:val="22"/>
          </w:rPr>
          <w:t>https://build.fhir.org/ig/HL7/davinci-pct/use_cases.html#example</w:t>
        </w:r>
      </w:hyperlink>
      <w:r w:rsidRPr="00D72A28">
        <w:rPr>
          <w:sz w:val="22"/>
        </w:rPr>
        <w:t xml:space="preserve"> </w:t>
      </w:r>
    </w:p>
    <w:p w14:paraId="17349001" w14:textId="56853647" w:rsidR="00B43482" w:rsidRDefault="00B43482" w:rsidP="00750ECC">
      <w:r w:rsidRPr="00B43482">
        <w:rPr>
          <w:b/>
          <w:bCs/>
        </w:rPr>
        <w:t>11/8 BCBSA:</w:t>
      </w:r>
    </w:p>
    <w:p w14:paraId="24F5E030" w14:textId="45598AF4" w:rsidR="00ED402D" w:rsidRDefault="00ED402D" w:rsidP="00750ECC">
      <w:r>
        <w:t xml:space="preserve">“#4:  </w:t>
      </w:r>
      <w:r>
        <w:rPr>
          <w:rFonts w:ascii="Verdana" w:hAnsi="Verdana"/>
          <w:color w:val="333333"/>
          <w:sz w:val="18"/>
          <w:szCs w:val="18"/>
          <w:shd w:val="clear" w:color="auto" w:fill="FFFFFF"/>
        </w:rPr>
        <w:t xml:space="preserve">The next day, Eve calls the radiology facility (Office of Dr. Christine Curie, NPI - 1234567893) to schedule her brain MRI, CPT 70551 and provide her coverage information, which she plans to use” – </w:t>
      </w:r>
      <w:r>
        <w:rPr>
          <w:rFonts w:ascii="Verdana" w:hAnsi="Verdana"/>
          <w:color w:val="333333"/>
          <w:sz w:val="18"/>
          <w:szCs w:val="18"/>
          <w:shd w:val="clear" w:color="auto" w:fill="FFFFFF"/>
        </w:rPr>
        <w:lastRenderedPageBreak/>
        <w:t xml:space="preserve">the scenario speaks to the radiology facility; however the example speaks to a professional – change the example to be a facility.  </w:t>
      </w:r>
    </w:p>
    <w:p w14:paraId="07A6576D" w14:textId="77777777" w:rsidR="00750ECC" w:rsidRDefault="00ED402D" w:rsidP="00750ECC">
      <w:r>
        <w:t xml:space="preserve">Modify </w:t>
      </w:r>
      <w:r w:rsidR="00750ECC">
        <w:t>#7</w:t>
      </w:r>
      <w:r>
        <w:t xml:space="preserve"> as follows</w:t>
      </w:r>
      <w:r w:rsidR="00750ECC">
        <w:t xml:space="preserve">:  </w:t>
      </w:r>
      <w:r w:rsidR="00750ECC" w:rsidRPr="00750ECC">
        <w:t xml:space="preserve">The ABC’s Radiology Office Administrator enters the services and coverage information, initiates the process with other potential providers to generate the Good Faith Estimate (GFE) </w:t>
      </w:r>
      <w:bookmarkStart w:id="5" w:name="OLE_LINK7"/>
      <w:bookmarkStart w:id="6" w:name="OLE_LINK8"/>
      <w:r w:rsidR="00750ECC" w:rsidRPr="00750ECC">
        <w:t xml:space="preserve">for </w:t>
      </w:r>
      <w:r>
        <w:t xml:space="preserve">the </w:t>
      </w:r>
      <w:r>
        <w:rPr>
          <w:color w:val="FF0000"/>
        </w:rPr>
        <w:t xml:space="preserve">expected charges with the expected billing and diagnostic codes </w:t>
      </w:r>
      <w:bookmarkEnd w:id="5"/>
      <w:bookmarkEnd w:id="6"/>
      <w:r w:rsidR="00750ECC" w:rsidRPr="00ED402D">
        <w:rPr>
          <w:strike/>
        </w:rPr>
        <w:t>costs and services</w:t>
      </w:r>
      <w:r w:rsidR="00750ECC" w:rsidRPr="00750ECC">
        <w:t>.</w:t>
      </w:r>
      <w:r>
        <w:t xml:space="preserve"> </w:t>
      </w:r>
    </w:p>
    <w:p w14:paraId="137496BD" w14:textId="77777777" w:rsidR="1DD29868" w:rsidRDefault="00ED402D" w:rsidP="00ED402D">
      <w:r>
        <w:t xml:space="preserve">Modify #9 as follows:  </w:t>
      </w:r>
      <w:r w:rsidRPr="00ED402D">
        <w:t>The payer receives the GFE</w:t>
      </w:r>
      <w:r w:rsidR="0027049C">
        <w:t xml:space="preserve">.  </w:t>
      </w:r>
      <w:r w:rsidR="0027049C" w:rsidRPr="0027049C">
        <w:rPr>
          <w:color w:val="FF0000"/>
        </w:rPr>
        <w:t>Within</w:t>
      </w:r>
      <w:r w:rsidRPr="0027049C">
        <w:rPr>
          <w:color w:val="FF0000"/>
        </w:rPr>
        <w:t xml:space="preserve"> </w:t>
      </w:r>
      <w:r w:rsidR="00786C43">
        <w:rPr>
          <w:color w:val="FF0000"/>
        </w:rPr>
        <w:t>one business day</w:t>
      </w:r>
      <w:r w:rsidR="0027049C">
        <w:rPr>
          <w:color w:val="FF0000"/>
        </w:rPr>
        <w:t xml:space="preserve"> the payer</w:t>
      </w:r>
      <w:r w:rsidR="00786C43">
        <w:rPr>
          <w:color w:val="FF0000"/>
        </w:rPr>
        <w:t xml:space="preserve"> </w:t>
      </w:r>
      <w:r w:rsidRPr="00ED402D">
        <w:t xml:space="preserve">adjudicates it </w:t>
      </w:r>
      <w:r w:rsidRPr="00212BAC">
        <w:rPr>
          <w:strike/>
        </w:rPr>
        <w:t>to determine patient costs</w:t>
      </w:r>
      <w:r w:rsidRPr="00ED402D">
        <w:t xml:space="preserve"> and sends the </w:t>
      </w:r>
      <w:r w:rsidR="00212BAC" w:rsidRPr="00212BAC">
        <w:rPr>
          <w:color w:val="FF0000"/>
        </w:rPr>
        <w:t xml:space="preserve">Good Faith Estimates of cost, cost-sharing and progress towards meeting deductibles and out-of-pocket maximums, as well as whether a service is subject to medical management and relevant disclaimers of estimates as </w:t>
      </w:r>
      <w:r w:rsidR="00212BAC">
        <w:t xml:space="preserve">an </w:t>
      </w:r>
      <w:r w:rsidRPr="00ED402D">
        <w:t>AEOB</w:t>
      </w:r>
      <w:r w:rsidRPr="00212BAC">
        <w:rPr>
          <w:strike/>
        </w:rPr>
        <w:t xml:space="preserve"> (including the GFE) </w:t>
      </w:r>
      <w:r w:rsidRPr="00ED402D">
        <w:t>securely to Eve.</w:t>
      </w:r>
    </w:p>
    <w:p w14:paraId="7AC79597" w14:textId="77777777" w:rsidR="006E36F8" w:rsidRDefault="006E36F8" w:rsidP="006E36F8">
      <w:pPr>
        <w:rPr>
          <w:color w:val="FF0000"/>
          <w:shd w:val="clear" w:color="auto" w:fill="FFFFFF"/>
        </w:rPr>
      </w:pPr>
      <w:r>
        <w:t xml:space="preserve">Modify #12 as follows: </w:t>
      </w:r>
      <w:r>
        <w:rPr>
          <w:shd w:val="clear" w:color="auto" w:fill="FFFFFF"/>
        </w:rPr>
        <w:t xml:space="preserve">Optionally, Eve or </w:t>
      </w:r>
      <w:r w:rsidRPr="006E36F8">
        <w:rPr>
          <w:strike/>
          <w:shd w:val="clear" w:color="auto" w:fill="FFFFFF"/>
        </w:rPr>
        <w:t>any interested party</w:t>
      </w:r>
      <w:r>
        <w:rPr>
          <w:shd w:val="clear" w:color="auto" w:fill="FFFFFF"/>
        </w:rPr>
        <w:t xml:space="preserve"> </w:t>
      </w:r>
      <w:r>
        <w:rPr>
          <w:color w:val="FF0000"/>
          <w:shd w:val="clear" w:color="auto" w:fill="FFFFFF"/>
        </w:rPr>
        <w:t xml:space="preserve">an authorized user </w:t>
      </w:r>
      <w:r>
        <w:rPr>
          <w:shd w:val="clear" w:color="auto" w:fill="FFFFFF"/>
        </w:rPr>
        <w:t xml:space="preserve">could </w:t>
      </w:r>
      <w:r>
        <w:rPr>
          <w:color w:val="FF0000"/>
          <w:shd w:val="clear" w:color="auto" w:fill="FFFFFF"/>
        </w:rPr>
        <w:t>use their 3</w:t>
      </w:r>
      <w:r w:rsidRPr="006E36F8">
        <w:rPr>
          <w:color w:val="FF0000"/>
          <w:shd w:val="clear" w:color="auto" w:fill="FFFFFF"/>
          <w:vertAlign w:val="superscript"/>
        </w:rPr>
        <w:t>rd</w:t>
      </w:r>
      <w:r>
        <w:rPr>
          <w:color w:val="FF0000"/>
          <w:shd w:val="clear" w:color="auto" w:fill="FFFFFF"/>
        </w:rPr>
        <w:t xml:space="preserve"> party app to </w:t>
      </w:r>
      <w:r>
        <w:rPr>
          <w:shd w:val="clear" w:color="auto" w:fill="FFFFFF"/>
        </w:rPr>
        <w:t xml:space="preserve">query for the AEOB using the Bundle.identifier and auth token </w:t>
      </w:r>
      <w:r>
        <w:rPr>
          <w:color w:val="FF0000"/>
          <w:shd w:val="clear" w:color="auto" w:fill="FFFFFF"/>
        </w:rPr>
        <w:t>if the payer supports the API.</w:t>
      </w:r>
    </w:p>
    <w:p w14:paraId="55C2C641" w14:textId="43280675" w:rsidR="006E36F8" w:rsidRDefault="00552E51" w:rsidP="006E36F8">
      <w:pPr>
        <w:pStyle w:val="Heading2"/>
        <w:rPr>
          <w:sz w:val="22"/>
          <w:shd w:val="clear" w:color="auto" w:fill="FFFFFF"/>
        </w:rPr>
      </w:pPr>
      <w:r>
        <w:rPr>
          <w:shd w:val="clear" w:color="auto" w:fill="FFFFFF"/>
        </w:rPr>
        <w:t xml:space="preserve">Section </w:t>
      </w:r>
      <w:r w:rsidR="006E36F8">
        <w:rPr>
          <w:shd w:val="clear" w:color="auto" w:fill="FFFFFF"/>
        </w:rPr>
        <w:t xml:space="preserve">2.2 Terms and Concepts </w:t>
      </w:r>
      <w:hyperlink r:id="rId18" w:anchor="terms-and-concepts" w:history="1">
        <w:r w:rsidR="006E36F8" w:rsidRPr="006E36F8">
          <w:rPr>
            <w:rStyle w:val="Hyperlink"/>
            <w:sz w:val="22"/>
            <w:shd w:val="clear" w:color="auto" w:fill="FFFFFF"/>
          </w:rPr>
          <w:t>https://build.fhir.org/ig/HL7/davinci-pct/use_cases.html#terms-and-concepts</w:t>
        </w:r>
      </w:hyperlink>
      <w:r w:rsidR="006E36F8" w:rsidRPr="006E36F8">
        <w:rPr>
          <w:sz w:val="22"/>
          <w:shd w:val="clear" w:color="auto" w:fill="FFFFFF"/>
        </w:rPr>
        <w:t xml:space="preserve"> </w:t>
      </w:r>
    </w:p>
    <w:p w14:paraId="718C9F7A" w14:textId="3ACF05E7" w:rsidR="00B43482" w:rsidRPr="00B43482" w:rsidRDefault="00B43482" w:rsidP="00B43482">
      <w:r w:rsidRPr="00B43482">
        <w:rPr>
          <w:b/>
          <w:bCs/>
        </w:rPr>
        <w:t>11/8 BCBSA:</w:t>
      </w:r>
    </w:p>
    <w:p w14:paraId="2C3C83F5" w14:textId="184B0A13" w:rsidR="0027049C" w:rsidRDefault="0027049C" w:rsidP="00A05803">
      <w:pPr>
        <w:pStyle w:val="ListParagraph"/>
        <w:numPr>
          <w:ilvl w:val="0"/>
          <w:numId w:val="16"/>
        </w:numPr>
      </w:pPr>
      <w:r>
        <w:t xml:space="preserve">Modify the definition of the Advanced EOB Proposed Definition as follows: </w:t>
      </w:r>
      <w:r w:rsidR="00A05803">
        <w:t xml:space="preserve"> </w:t>
      </w:r>
      <w:hyperlink r:id="rId19" w:history="1">
        <w:r w:rsidR="00F5611A">
          <w:rPr>
            <w:rStyle w:val="Hyperlink"/>
          </w:rPr>
          <w:t>The Consolidated Appropriations Act</w:t>
        </w:r>
      </w:hyperlink>
      <w:r w:rsidR="00A05803">
        <w:t xml:space="preserve"> </w:t>
      </w:r>
      <w:r w:rsidR="00F5611A">
        <w:t xml:space="preserve">includes provisions whereby </w:t>
      </w:r>
      <w:r w:rsidR="00A05803" w:rsidRPr="00BC230A">
        <w:t>health plans</w:t>
      </w:r>
      <w:r w:rsidR="00A05803">
        <w:t xml:space="preserve">, based on charges, billing and diagnostic codes provided by the provider(s), </w:t>
      </w:r>
      <w:r w:rsidR="00A05803" w:rsidRPr="00BC230A">
        <w:t>provide an Advanced EOB for scheduled services to give patients transparency into which providers are expected to provide treatment, the network status of providers, good faith estimates of cost, cost-sharing and progress towards meeting deductibles and out-of-pocket maximums, as well as whether a service is subject to medical management and relevant disclaimers of estimates</w:t>
      </w:r>
      <w:r w:rsidR="00F5611A">
        <w:t>; for example a</w:t>
      </w:r>
      <w:r w:rsidR="00A05803">
        <w:t xml:space="preserve"> </w:t>
      </w:r>
      <w:r>
        <w:t>disclaimer that the information provided in</w:t>
      </w:r>
      <w:r w:rsidR="00A05803">
        <w:t xml:space="preserve"> </w:t>
      </w:r>
      <w:r>
        <w:t>the notification is only an estimate based on the items</w:t>
      </w:r>
      <w:r w:rsidR="00A05803">
        <w:t xml:space="preserve"> </w:t>
      </w:r>
      <w:r>
        <w:t>and services reasonably expected, at the time of scheduling</w:t>
      </w:r>
      <w:r w:rsidR="00A05803">
        <w:t xml:space="preserve"> and </w:t>
      </w:r>
      <w:r>
        <w:t>is subject to change.</w:t>
      </w:r>
      <w:r w:rsidR="00F5611A">
        <w:t xml:space="preserve">  To ensure compliance,  Implementers should reference the CAA and associated regulations.</w:t>
      </w:r>
    </w:p>
    <w:p w14:paraId="289F0767" w14:textId="77777777" w:rsidR="0001639E" w:rsidRDefault="0001639E" w:rsidP="0001639E">
      <w:pPr>
        <w:pStyle w:val="ListParagraph"/>
        <w:ind w:left="763"/>
      </w:pPr>
    </w:p>
    <w:p w14:paraId="77EBB323" w14:textId="77777777" w:rsidR="1DD29868" w:rsidRPr="00FB53CD" w:rsidRDefault="00F85290" w:rsidP="00F85290">
      <w:pPr>
        <w:pStyle w:val="ListParagraph"/>
        <w:numPr>
          <w:ilvl w:val="0"/>
          <w:numId w:val="16"/>
        </w:numPr>
      </w:pPr>
      <w:r>
        <w:t xml:space="preserve">Add the following to the definition after the word ‘pandemic’:  </w:t>
      </w:r>
      <w:r w:rsidRPr="00E472A1">
        <w:t>Title I (the No Surprises Act) of Division BB of the Consolidated Appropriations Act, 2021 establishes new protections from surprise billing and excessive cost sharing for consumers receiving health care items/services.</w:t>
      </w:r>
    </w:p>
    <w:p w14:paraId="284432D0" w14:textId="77777777" w:rsidR="00FB53CD" w:rsidRDefault="00FB53CD" w:rsidP="00FB53CD">
      <w:pPr>
        <w:pStyle w:val="ListParagraph"/>
      </w:pPr>
    </w:p>
    <w:p w14:paraId="5B5E1B05" w14:textId="27172A86" w:rsidR="00E472A1" w:rsidRPr="00E472A1" w:rsidRDefault="00CF2117" w:rsidP="00E472A1">
      <w:pPr>
        <w:pStyle w:val="ListParagraph"/>
        <w:numPr>
          <w:ilvl w:val="0"/>
          <w:numId w:val="16"/>
        </w:numPr>
      </w:pPr>
      <w:r>
        <w:t>Where is the Charge Description Master, the comprehensive list of a hospital’s items billable to a payer, in the data flow of the IG?</w:t>
      </w:r>
    </w:p>
    <w:p w14:paraId="443F7744" w14:textId="77777777" w:rsidR="00E472A1" w:rsidRDefault="00E472A1" w:rsidP="00E472A1">
      <w:pPr>
        <w:pStyle w:val="ListParagraph"/>
      </w:pPr>
    </w:p>
    <w:p w14:paraId="51CF4D7C" w14:textId="77777777" w:rsidR="00FB53CD" w:rsidRDefault="00CC460F" w:rsidP="00F85290">
      <w:pPr>
        <w:pStyle w:val="ListParagraph"/>
        <w:numPr>
          <w:ilvl w:val="0"/>
          <w:numId w:val="16"/>
        </w:numPr>
      </w:pPr>
      <w:r>
        <w:t>Add the following to the definition for Collection of Services after ‘gathering the’:</w:t>
      </w:r>
      <w:r w:rsidR="00FB53CD">
        <w:t xml:space="preserve"> </w:t>
      </w:r>
      <w:r>
        <w:t xml:space="preserve">Good Faith Estimate </w:t>
      </w:r>
      <w:r w:rsidRPr="00750ECC">
        <w:t xml:space="preserve">for </w:t>
      </w:r>
      <w:r>
        <w:t xml:space="preserve">the </w:t>
      </w:r>
      <w:r w:rsidR="00806CDF" w:rsidRPr="00806CDF">
        <w:t>expected charges,</w:t>
      </w:r>
      <w:r w:rsidRPr="00806CDF">
        <w:t xml:space="preserve"> billing and diagnostic codes for multiple</w:t>
      </w:r>
      <w:r w:rsidR="00806CDF" w:rsidRPr="00806CDF">
        <w:t xml:space="preserve"> providers.  Delete the ‘Note: this may span across Providers (NPIs</w:t>
      </w:r>
      <w:r w:rsidR="00552E51">
        <w:t>)</w:t>
      </w:r>
      <w:r w:rsidR="00806CDF" w:rsidRPr="00806CDF">
        <w:t>’</w:t>
      </w:r>
    </w:p>
    <w:p w14:paraId="18DC6976" w14:textId="77777777" w:rsidR="00552E51" w:rsidRDefault="00552E51" w:rsidP="00552E51">
      <w:pPr>
        <w:pStyle w:val="ListParagraph"/>
      </w:pPr>
    </w:p>
    <w:p w14:paraId="5AC69E6B" w14:textId="77777777" w:rsidR="00552E51" w:rsidRDefault="00552E51" w:rsidP="00763CD8">
      <w:pPr>
        <w:pStyle w:val="ListParagraph"/>
        <w:numPr>
          <w:ilvl w:val="0"/>
          <w:numId w:val="16"/>
        </w:numPr>
      </w:pPr>
      <w:r>
        <w:t>Delete De-identified minimum negotiated charge, De-identified maximum negotiated charge and Fee schedules… they’re not relevant to the use case.</w:t>
      </w:r>
    </w:p>
    <w:p w14:paraId="10B864D0" w14:textId="77777777" w:rsidR="00552E51" w:rsidRDefault="00552E51" w:rsidP="00552E51">
      <w:pPr>
        <w:pStyle w:val="ListParagraph"/>
      </w:pPr>
    </w:p>
    <w:p w14:paraId="0D002F4C" w14:textId="77777777" w:rsidR="00B53584" w:rsidRDefault="00552E51" w:rsidP="00552E51">
      <w:pPr>
        <w:pStyle w:val="Heading2"/>
        <w:rPr>
          <w:sz w:val="22"/>
        </w:rPr>
      </w:pPr>
      <w:r>
        <w:t xml:space="preserve">Section 4.  </w:t>
      </w:r>
      <w:r w:rsidR="00B53584">
        <w:t>Formal Specification</w:t>
      </w:r>
      <w:r>
        <w:t xml:space="preserve"> </w:t>
      </w:r>
      <w:hyperlink r:id="rId20" w:history="1">
        <w:r w:rsidRPr="00552E51">
          <w:rPr>
            <w:rStyle w:val="Hyperlink"/>
            <w:sz w:val="22"/>
          </w:rPr>
          <w:t>https://build.fhir.org/ig/HL7/davinci-pct/formal_specification.html</w:t>
        </w:r>
      </w:hyperlink>
      <w:r w:rsidRPr="00552E51">
        <w:rPr>
          <w:sz w:val="22"/>
        </w:rPr>
        <w:t xml:space="preserve"> </w:t>
      </w:r>
    </w:p>
    <w:p w14:paraId="5B231EC5" w14:textId="77777777" w:rsidR="00763CD8" w:rsidRDefault="00763CD8" w:rsidP="00763CD8"/>
    <w:p w14:paraId="6D605331" w14:textId="0D4FA603" w:rsidR="74E17E87" w:rsidRDefault="00B574B9" w:rsidP="00B574B9">
      <w:pPr>
        <w:pStyle w:val="Heading3"/>
        <w:rPr>
          <w:sz w:val="22"/>
        </w:rPr>
      </w:pPr>
      <w:r>
        <w:lastRenderedPageBreak/>
        <w:t xml:space="preserve">Section </w:t>
      </w:r>
      <w:r w:rsidR="00B53584">
        <w:t>4.1.3</w:t>
      </w:r>
      <w:r w:rsidR="00763CD8">
        <w:t xml:space="preserve"> Systems</w:t>
      </w:r>
      <w:r w:rsidR="00B53584">
        <w:t xml:space="preserve"> </w:t>
      </w:r>
      <w:hyperlink r:id="rId21" w:anchor="systems" w:history="1">
        <w:r w:rsidRPr="008F55FB">
          <w:rPr>
            <w:rStyle w:val="Hyperlink"/>
            <w:sz w:val="22"/>
          </w:rPr>
          <w:t>https://build.fhir.org/ig/HL7/davinci-pct/formal_specification.html#systems</w:t>
        </w:r>
      </w:hyperlink>
      <w:r w:rsidRPr="008F55FB">
        <w:rPr>
          <w:sz w:val="22"/>
        </w:rPr>
        <w:t xml:space="preserve"> </w:t>
      </w:r>
    </w:p>
    <w:p w14:paraId="43A0886C" w14:textId="009E6E15" w:rsidR="00B43482" w:rsidRPr="00B43482" w:rsidRDefault="00B43482" w:rsidP="00B43482">
      <w:r w:rsidRPr="00B43482">
        <w:rPr>
          <w:b/>
          <w:bCs/>
        </w:rPr>
        <w:t>11/8 BCBSA:</w:t>
      </w:r>
    </w:p>
    <w:p w14:paraId="236460A9" w14:textId="77777777" w:rsidR="1DD29868" w:rsidRPr="004B0AB7" w:rsidRDefault="00B574B9" w:rsidP="00763CD8">
      <w:pPr>
        <w:pStyle w:val="ListParagraph"/>
        <w:numPr>
          <w:ilvl w:val="0"/>
          <w:numId w:val="17"/>
        </w:numPr>
        <w:ind w:left="763"/>
        <w:rPr>
          <w:rFonts w:eastAsia="Times New Roman"/>
        </w:rPr>
      </w:pPr>
      <w:r>
        <w:rPr>
          <w:rFonts w:eastAsia="Times New Roman"/>
        </w:rPr>
        <w:t xml:space="preserve">Change ‘Payer Intermediary etc.’ to read </w:t>
      </w:r>
      <w:r w:rsidR="00763CD8">
        <w:rPr>
          <w:rFonts w:eastAsia="Times New Roman"/>
        </w:rPr>
        <w:t>‘</w:t>
      </w:r>
      <w:r w:rsidR="00763CD8" w:rsidRPr="00763CD8">
        <w:rPr>
          <w:b/>
        </w:rPr>
        <w:t>Intermediary:</w:t>
      </w:r>
      <w:r w:rsidR="00763CD8">
        <w:t xml:space="preserve">  The payer or the provider may have the relationship with the intermediary.  Some payers do not contract with a clearinghouse; others do.  Providers can either contract with a Practice Management system who has the relationship with the clearinghouse or in some cases contracts directly with the clearinghouse through their Practice Management software.’  </w:t>
      </w:r>
    </w:p>
    <w:p w14:paraId="5CDCEF8F" w14:textId="77777777" w:rsidR="004B0AB7" w:rsidRDefault="004B0AB7" w:rsidP="004B0AB7">
      <w:pPr>
        <w:pStyle w:val="Heading2"/>
        <w:rPr>
          <w:rFonts w:eastAsia="Times New Roman"/>
          <w:sz w:val="22"/>
        </w:rPr>
      </w:pPr>
      <w:r>
        <w:rPr>
          <w:rFonts w:eastAsia="Times New Roman"/>
        </w:rPr>
        <w:t xml:space="preserve">Section 5.  Terminology Licensure </w:t>
      </w:r>
      <w:hyperlink r:id="rId22" w:anchor="terminology-licensure" w:history="1">
        <w:r w:rsidRPr="004B0AB7">
          <w:rPr>
            <w:rStyle w:val="Hyperlink"/>
            <w:rFonts w:eastAsia="Times New Roman"/>
            <w:sz w:val="22"/>
          </w:rPr>
          <w:t>https://build.fhir.org/ig/HL7/davinci-pct/terminology_licensure.html#terminology-licensure</w:t>
        </w:r>
      </w:hyperlink>
      <w:r w:rsidRPr="004B0AB7">
        <w:rPr>
          <w:rFonts w:eastAsia="Times New Roman"/>
          <w:sz w:val="22"/>
        </w:rPr>
        <w:t xml:space="preserve"> </w:t>
      </w:r>
    </w:p>
    <w:p w14:paraId="22DF3BAF" w14:textId="77777777" w:rsidR="0006152D" w:rsidRPr="0006152D" w:rsidRDefault="0006152D" w:rsidP="0006152D"/>
    <w:p w14:paraId="69017047" w14:textId="3458CC53" w:rsidR="004B0AB7" w:rsidRDefault="004B0AB7" w:rsidP="004B0AB7">
      <w:pPr>
        <w:pStyle w:val="Heading3"/>
      </w:pPr>
      <w:r>
        <w:t xml:space="preserve">Section 5.1.2 Licensed Industry Standard Code Systems </w:t>
      </w:r>
      <w:hyperlink r:id="rId23" w:anchor="licensed-industry-standard-code-systems" w:history="1">
        <w:r w:rsidRPr="00787D44">
          <w:rPr>
            <w:rStyle w:val="Hyperlink"/>
          </w:rPr>
          <w:t>https://build.fhir.org/ig/HL7/davinci-pct/terminology_licensure.html#licensed-industry-standard-code-systems</w:t>
        </w:r>
      </w:hyperlink>
      <w:r>
        <w:t xml:space="preserve"> </w:t>
      </w:r>
    </w:p>
    <w:p w14:paraId="4DA369AA" w14:textId="11196C9D" w:rsidR="00B43482" w:rsidRPr="00B43482" w:rsidRDefault="00B43482" w:rsidP="00B43482">
      <w:r w:rsidRPr="00B43482">
        <w:rPr>
          <w:b/>
          <w:bCs/>
        </w:rPr>
        <w:t>11/8 BCBSA:</w:t>
      </w:r>
    </w:p>
    <w:p w14:paraId="773D4D79" w14:textId="77777777" w:rsidR="00B574B9" w:rsidRDefault="004B0AB7" w:rsidP="004B0AB7">
      <w:pPr>
        <w:pStyle w:val="ListParagraph"/>
        <w:numPr>
          <w:ilvl w:val="0"/>
          <w:numId w:val="20"/>
        </w:numPr>
        <w:ind w:left="763"/>
        <w:rPr>
          <w:rFonts w:eastAsia="Times New Roman"/>
        </w:rPr>
      </w:pPr>
      <w:r>
        <w:rPr>
          <w:rFonts w:eastAsia="Times New Roman"/>
        </w:rPr>
        <w:t xml:space="preserve"> </w:t>
      </w:r>
      <w:r w:rsidR="0006152D">
        <w:rPr>
          <w:rFonts w:eastAsia="Times New Roman"/>
        </w:rPr>
        <w:t xml:space="preserve">Delete NCPDP.  Retail Pharmacy is not included in the CAA scope.  </w:t>
      </w:r>
    </w:p>
    <w:p w14:paraId="05D21A90" w14:textId="77777777" w:rsidR="0006152D" w:rsidRDefault="0006152D" w:rsidP="0006152D">
      <w:pPr>
        <w:rPr>
          <w:rFonts w:eastAsia="Times New Roman"/>
        </w:rPr>
      </w:pPr>
    </w:p>
    <w:p w14:paraId="6851C6AC" w14:textId="144CFE26" w:rsidR="0006152D" w:rsidRDefault="0006152D" w:rsidP="0006152D">
      <w:pPr>
        <w:pStyle w:val="Heading2"/>
        <w:rPr>
          <w:rFonts w:eastAsia="Times New Roman"/>
          <w:sz w:val="22"/>
        </w:rPr>
      </w:pPr>
      <w:r>
        <w:rPr>
          <w:rFonts w:eastAsia="Times New Roman"/>
        </w:rPr>
        <w:t xml:space="preserve">Section 1.2 Downloads </w:t>
      </w:r>
      <w:hyperlink r:id="rId24" w:anchor="downloads" w:history="1">
        <w:r w:rsidRPr="0006152D">
          <w:rPr>
            <w:rStyle w:val="Hyperlink"/>
            <w:rFonts w:eastAsia="Times New Roman"/>
            <w:sz w:val="22"/>
          </w:rPr>
          <w:t>https://build.fhir.org/ig/HL7/davinci-pct/index.html#downloads</w:t>
        </w:r>
      </w:hyperlink>
      <w:r w:rsidRPr="0006152D">
        <w:rPr>
          <w:rFonts w:eastAsia="Times New Roman"/>
          <w:sz w:val="22"/>
        </w:rPr>
        <w:t xml:space="preserve"> </w:t>
      </w:r>
    </w:p>
    <w:p w14:paraId="68BEB791" w14:textId="7795259E" w:rsidR="00B43482" w:rsidRPr="00B43482" w:rsidRDefault="00B43482" w:rsidP="00B43482">
      <w:r w:rsidRPr="00B43482">
        <w:rPr>
          <w:b/>
          <w:bCs/>
        </w:rPr>
        <w:t>11/8 BCBSA:</w:t>
      </w:r>
    </w:p>
    <w:p w14:paraId="243FB5D0" w14:textId="60840F5A" w:rsidR="00B574B9" w:rsidRPr="0006152D" w:rsidRDefault="0006152D" w:rsidP="0006152D">
      <w:pPr>
        <w:pStyle w:val="ListParagraph"/>
        <w:numPr>
          <w:ilvl w:val="0"/>
          <w:numId w:val="21"/>
        </w:numPr>
        <w:rPr>
          <w:rFonts w:eastAsia="Times New Roman"/>
        </w:rPr>
      </w:pPr>
      <w:r>
        <w:rPr>
          <w:rFonts w:eastAsia="Times New Roman"/>
        </w:rPr>
        <w:t xml:space="preserve"> This</w:t>
      </w:r>
      <w:r w:rsidR="00325D29">
        <w:rPr>
          <w:rFonts w:eastAsia="Times New Roman"/>
        </w:rPr>
        <w:t xml:space="preserve"> section </w:t>
      </w:r>
      <w:r>
        <w:rPr>
          <w:rFonts w:eastAsia="Times New Roman"/>
        </w:rPr>
        <w:t>is accessed from</w:t>
      </w:r>
      <w:r w:rsidR="00325D29">
        <w:rPr>
          <w:rFonts w:eastAsia="Times New Roman"/>
        </w:rPr>
        <w:t xml:space="preserve"> two pages, </w:t>
      </w:r>
      <w:r>
        <w:rPr>
          <w:rFonts w:eastAsia="Times New Roman"/>
        </w:rPr>
        <w:t xml:space="preserve">IG Home and from PCT Specification … is that intended?  </w:t>
      </w:r>
    </w:p>
    <w:p w14:paraId="3B2EB3AC" w14:textId="77777777" w:rsidR="1DD29868" w:rsidRDefault="1DD29868" w:rsidP="1DD29868">
      <w:pPr>
        <w:ind w:left="720"/>
      </w:pPr>
    </w:p>
    <w:sectPr w:rsidR="1DD2986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8AED4" w16cex:dateUtc="2021-11-12T15:13:00Z"/>
  <w16cex:commentExtensible w16cex:durableId="2538ADBB" w16cex:dateUtc="2021-11-12T15:09:00Z"/>
  <w16cex:commentExtensible w16cex:durableId="2538AE1B" w16cex:dateUtc="2021-11-12T15:10:00Z"/>
  <w16cex:commentExtensible w16cex:durableId="2538AF30" w16cex:dateUtc="2021-11-12T15:15:00Z"/>
  <w16cex:commentExtensible w16cex:durableId="2538AFBD" w16cex:dateUtc="2021-11-12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E1D63E" w16cid:durableId="2538AED4"/>
  <w16cid:commentId w16cid:paraId="68DF58A3" w16cid:durableId="2538ADBB"/>
  <w16cid:commentId w16cid:paraId="7E629B18" w16cid:durableId="2538AE1B"/>
  <w16cid:commentId w16cid:paraId="143D8660" w16cid:durableId="2538AF30"/>
  <w16cid:commentId w16cid:paraId="0AFD06A8" w16cid:durableId="2538AF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D8761" w14:textId="77777777" w:rsidR="004E2BA5" w:rsidRDefault="004E2BA5" w:rsidP="00C03378">
      <w:pPr>
        <w:spacing w:after="0" w:line="240" w:lineRule="auto"/>
      </w:pPr>
      <w:r>
        <w:separator/>
      </w:r>
    </w:p>
  </w:endnote>
  <w:endnote w:type="continuationSeparator" w:id="0">
    <w:p w14:paraId="20CE5937" w14:textId="77777777" w:rsidR="004E2BA5" w:rsidRDefault="004E2BA5" w:rsidP="00C03378">
      <w:pPr>
        <w:spacing w:after="0" w:line="240" w:lineRule="auto"/>
      </w:pPr>
      <w:r>
        <w:continuationSeparator/>
      </w:r>
    </w:p>
  </w:endnote>
  <w:endnote w:type="continuationNotice" w:id="1">
    <w:p w14:paraId="10AE4BDB" w14:textId="77777777" w:rsidR="004E2BA5" w:rsidRDefault="004E2B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33472" w14:textId="77777777" w:rsidR="004E2BA5" w:rsidRDefault="004E2BA5" w:rsidP="00C03378">
      <w:pPr>
        <w:spacing w:after="0" w:line="240" w:lineRule="auto"/>
      </w:pPr>
      <w:r>
        <w:separator/>
      </w:r>
    </w:p>
  </w:footnote>
  <w:footnote w:type="continuationSeparator" w:id="0">
    <w:p w14:paraId="499CDE10" w14:textId="77777777" w:rsidR="004E2BA5" w:rsidRDefault="004E2BA5" w:rsidP="00C03378">
      <w:pPr>
        <w:spacing w:after="0" w:line="240" w:lineRule="auto"/>
      </w:pPr>
      <w:r>
        <w:continuationSeparator/>
      </w:r>
    </w:p>
  </w:footnote>
  <w:footnote w:type="continuationNotice" w:id="1">
    <w:p w14:paraId="6EDB2334" w14:textId="77777777" w:rsidR="004E2BA5" w:rsidRDefault="004E2B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C59"/>
    <w:multiLevelType w:val="hybridMultilevel"/>
    <w:tmpl w:val="AADEB3C2"/>
    <w:lvl w:ilvl="0" w:tplc="172C56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1C6784"/>
    <w:multiLevelType w:val="hybridMultilevel"/>
    <w:tmpl w:val="14DA4B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F4080C"/>
    <w:multiLevelType w:val="hybridMultilevel"/>
    <w:tmpl w:val="B33C9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A16268E">
      <w:start w:val="3"/>
      <w:numFmt w:val="bullet"/>
      <w:lvlText w:val=""/>
      <w:lvlJc w:val="left"/>
      <w:pPr>
        <w:ind w:left="2880" w:hanging="360"/>
      </w:pPr>
      <w:rPr>
        <w:rFonts w:ascii="Wingdings" w:eastAsiaTheme="minorHAnsi" w:hAnsi="Wingdings"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301F5"/>
    <w:multiLevelType w:val="hybridMultilevel"/>
    <w:tmpl w:val="73A868A4"/>
    <w:lvl w:ilvl="0" w:tplc="172C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346BB"/>
    <w:multiLevelType w:val="hybridMultilevel"/>
    <w:tmpl w:val="08C25770"/>
    <w:lvl w:ilvl="0" w:tplc="703286E8">
      <w:start w:val="1"/>
      <w:numFmt w:val="lowerLetter"/>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5" w15:restartNumberingAfterBreak="0">
    <w:nsid w:val="117737D0"/>
    <w:multiLevelType w:val="multilevel"/>
    <w:tmpl w:val="EA68473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9A46CA4"/>
    <w:multiLevelType w:val="hybridMultilevel"/>
    <w:tmpl w:val="F132BC84"/>
    <w:lvl w:ilvl="0" w:tplc="2000E9F4">
      <w:start w:val="2"/>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6272F1"/>
    <w:multiLevelType w:val="hybridMultilevel"/>
    <w:tmpl w:val="9CE23692"/>
    <w:lvl w:ilvl="0" w:tplc="85546A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F1233"/>
    <w:multiLevelType w:val="hybridMultilevel"/>
    <w:tmpl w:val="BCD864BA"/>
    <w:lvl w:ilvl="0" w:tplc="DA4889A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52951"/>
    <w:multiLevelType w:val="hybridMultilevel"/>
    <w:tmpl w:val="3070BCA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00CB7"/>
    <w:multiLevelType w:val="hybridMultilevel"/>
    <w:tmpl w:val="A55C428E"/>
    <w:lvl w:ilvl="0" w:tplc="172C56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3168C2"/>
    <w:multiLevelType w:val="hybridMultilevel"/>
    <w:tmpl w:val="2E085062"/>
    <w:lvl w:ilvl="0" w:tplc="172C5676">
      <w:start w:val="1"/>
      <w:numFmt w:val="lowerLetter"/>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2" w15:restartNumberingAfterBreak="0">
    <w:nsid w:val="3582767A"/>
    <w:multiLevelType w:val="hybridMultilevel"/>
    <w:tmpl w:val="CF269448"/>
    <w:lvl w:ilvl="0" w:tplc="527A8B74">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3A5D53"/>
    <w:multiLevelType w:val="hybridMultilevel"/>
    <w:tmpl w:val="24486802"/>
    <w:lvl w:ilvl="0" w:tplc="8C8AF4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EF03D81"/>
    <w:multiLevelType w:val="hybridMultilevel"/>
    <w:tmpl w:val="6E88C730"/>
    <w:lvl w:ilvl="0" w:tplc="9FC82494">
      <w:start w:val="1"/>
      <w:numFmt w:val="lowerLetter"/>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96036F8"/>
    <w:multiLevelType w:val="hybridMultilevel"/>
    <w:tmpl w:val="FCC0E88E"/>
    <w:lvl w:ilvl="0" w:tplc="172C56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023BC1"/>
    <w:multiLevelType w:val="hybridMultilevel"/>
    <w:tmpl w:val="20E66D00"/>
    <w:lvl w:ilvl="0" w:tplc="172C56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9F1F4C"/>
    <w:multiLevelType w:val="hybridMultilevel"/>
    <w:tmpl w:val="BBDA1916"/>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12AED"/>
    <w:multiLevelType w:val="hybridMultilevel"/>
    <w:tmpl w:val="E288013E"/>
    <w:lvl w:ilvl="0" w:tplc="61EC091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B6680C"/>
    <w:multiLevelType w:val="hybridMultilevel"/>
    <w:tmpl w:val="B192E234"/>
    <w:lvl w:ilvl="0" w:tplc="401E4566">
      <w:start w:val="3"/>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7B66298"/>
    <w:multiLevelType w:val="hybridMultilevel"/>
    <w:tmpl w:val="34CA7598"/>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97A18F4"/>
    <w:multiLevelType w:val="hybridMultilevel"/>
    <w:tmpl w:val="FBA8ECCC"/>
    <w:lvl w:ilvl="0" w:tplc="E9AE475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7"/>
  </w:num>
  <w:num w:numId="4">
    <w:abstractNumId w:val="14"/>
  </w:num>
  <w:num w:numId="5">
    <w:abstractNumId w:val="7"/>
  </w:num>
  <w:num w:numId="6">
    <w:abstractNumId w:val="9"/>
  </w:num>
  <w:num w:numId="7">
    <w:abstractNumId w:val="21"/>
  </w:num>
  <w:num w:numId="8">
    <w:abstractNumId w:val="20"/>
  </w:num>
  <w:num w:numId="9">
    <w:abstractNumId w:val="8"/>
  </w:num>
  <w:num w:numId="10">
    <w:abstractNumId w:val="6"/>
  </w:num>
  <w:num w:numId="11">
    <w:abstractNumId w:val="5"/>
  </w:num>
  <w:num w:numId="12">
    <w:abstractNumId w:val="19"/>
  </w:num>
  <w:num w:numId="13">
    <w:abstractNumId w:val="10"/>
  </w:num>
  <w:num w:numId="14">
    <w:abstractNumId w:val="18"/>
  </w:num>
  <w:num w:numId="15">
    <w:abstractNumId w:val="16"/>
  </w:num>
  <w:num w:numId="16">
    <w:abstractNumId w:val="11"/>
  </w:num>
  <w:num w:numId="17">
    <w:abstractNumId w:val="13"/>
  </w:num>
  <w:num w:numId="18">
    <w:abstractNumId w:val="15"/>
  </w:num>
  <w:num w:numId="19">
    <w:abstractNumId w:val="3"/>
  </w:num>
  <w:num w:numId="20">
    <w:abstractNumId w:val="0"/>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6C7"/>
    <w:rsid w:val="0001639E"/>
    <w:rsid w:val="0002575F"/>
    <w:rsid w:val="00035700"/>
    <w:rsid w:val="000576F0"/>
    <w:rsid w:val="0006152D"/>
    <w:rsid w:val="00073909"/>
    <w:rsid w:val="000745D8"/>
    <w:rsid w:val="000C753E"/>
    <w:rsid w:val="00161DF4"/>
    <w:rsid w:val="00162FD3"/>
    <w:rsid w:val="00192E3B"/>
    <w:rsid w:val="001D64FE"/>
    <w:rsid w:val="00212BAC"/>
    <w:rsid w:val="00231C20"/>
    <w:rsid w:val="00253C21"/>
    <w:rsid w:val="0026157F"/>
    <w:rsid w:val="0027049C"/>
    <w:rsid w:val="00276D1E"/>
    <w:rsid w:val="00281BAC"/>
    <w:rsid w:val="00286BC3"/>
    <w:rsid w:val="002D48D4"/>
    <w:rsid w:val="002D68FA"/>
    <w:rsid w:val="00321E62"/>
    <w:rsid w:val="00324189"/>
    <w:rsid w:val="00325D29"/>
    <w:rsid w:val="003304FB"/>
    <w:rsid w:val="0034038F"/>
    <w:rsid w:val="003435C1"/>
    <w:rsid w:val="00381408"/>
    <w:rsid w:val="00389B08"/>
    <w:rsid w:val="003E3A26"/>
    <w:rsid w:val="003E602F"/>
    <w:rsid w:val="004279CA"/>
    <w:rsid w:val="0043498C"/>
    <w:rsid w:val="004545A1"/>
    <w:rsid w:val="00476152"/>
    <w:rsid w:val="004939C9"/>
    <w:rsid w:val="004A4FD2"/>
    <w:rsid w:val="004B0AB7"/>
    <w:rsid w:val="004D6D69"/>
    <w:rsid w:val="004E2BA5"/>
    <w:rsid w:val="004F458A"/>
    <w:rsid w:val="00552E51"/>
    <w:rsid w:val="0058378A"/>
    <w:rsid w:val="005934D4"/>
    <w:rsid w:val="0059522F"/>
    <w:rsid w:val="005A1A21"/>
    <w:rsid w:val="005A5BBB"/>
    <w:rsid w:val="005A74D2"/>
    <w:rsid w:val="005F00C6"/>
    <w:rsid w:val="005F35DF"/>
    <w:rsid w:val="00615C76"/>
    <w:rsid w:val="006172D5"/>
    <w:rsid w:val="006203A8"/>
    <w:rsid w:val="006228CC"/>
    <w:rsid w:val="006407CD"/>
    <w:rsid w:val="0067523D"/>
    <w:rsid w:val="006B1734"/>
    <w:rsid w:val="006C0526"/>
    <w:rsid w:val="006E36F8"/>
    <w:rsid w:val="006F66BA"/>
    <w:rsid w:val="007211F7"/>
    <w:rsid w:val="00727FF4"/>
    <w:rsid w:val="00731C16"/>
    <w:rsid w:val="00750ECC"/>
    <w:rsid w:val="00763CD8"/>
    <w:rsid w:val="00775776"/>
    <w:rsid w:val="007826D4"/>
    <w:rsid w:val="00784C0C"/>
    <w:rsid w:val="00786C43"/>
    <w:rsid w:val="007F43BF"/>
    <w:rsid w:val="007F5F63"/>
    <w:rsid w:val="00806CDF"/>
    <w:rsid w:val="0080915C"/>
    <w:rsid w:val="00817C0A"/>
    <w:rsid w:val="008461E0"/>
    <w:rsid w:val="0085335E"/>
    <w:rsid w:val="00861FBE"/>
    <w:rsid w:val="0086287D"/>
    <w:rsid w:val="0086440B"/>
    <w:rsid w:val="00871CD8"/>
    <w:rsid w:val="00876680"/>
    <w:rsid w:val="008C4ECD"/>
    <w:rsid w:val="008F55FB"/>
    <w:rsid w:val="0090304E"/>
    <w:rsid w:val="00943893"/>
    <w:rsid w:val="009527A2"/>
    <w:rsid w:val="00957B6E"/>
    <w:rsid w:val="00964188"/>
    <w:rsid w:val="00984C17"/>
    <w:rsid w:val="009B4CD5"/>
    <w:rsid w:val="009B6127"/>
    <w:rsid w:val="009E5889"/>
    <w:rsid w:val="00A026CF"/>
    <w:rsid w:val="00A05803"/>
    <w:rsid w:val="00A0616A"/>
    <w:rsid w:val="00A114AA"/>
    <w:rsid w:val="00A20BF4"/>
    <w:rsid w:val="00A21648"/>
    <w:rsid w:val="00A24DD1"/>
    <w:rsid w:val="00A64800"/>
    <w:rsid w:val="00A85508"/>
    <w:rsid w:val="00AE5F8D"/>
    <w:rsid w:val="00AEB336"/>
    <w:rsid w:val="00B12FC2"/>
    <w:rsid w:val="00B37CA3"/>
    <w:rsid w:val="00B4234A"/>
    <w:rsid w:val="00B43482"/>
    <w:rsid w:val="00B53584"/>
    <w:rsid w:val="00B56888"/>
    <w:rsid w:val="00B574B9"/>
    <w:rsid w:val="00B848A3"/>
    <w:rsid w:val="00B86519"/>
    <w:rsid w:val="00BA58B9"/>
    <w:rsid w:val="00BB0672"/>
    <w:rsid w:val="00BC230A"/>
    <w:rsid w:val="00BC279F"/>
    <w:rsid w:val="00C03378"/>
    <w:rsid w:val="00C06094"/>
    <w:rsid w:val="00C443A5"/>
    <w:rsid w:val="00C91BA4"/>
    <w:rsid w:val="00CC460F"/>
    <w:rsid w:val="00CE0F5F"/>
    <w:rsid w:val="00CE67C9"/>
    <w:rsid w:val="00CF2117"/>
    <w:rsid w:val="00D200D6"/>
    <w:rsid w:val="00D416C7"/>
    <w:rsid w:val="00D72A28"/>
    <w:rsid w:val="00D763B4"/>
    <w:rsid w:val="00DC087E"/>
    <w:rsid w:val="00E23138"/>
    <w:rsid w:val="00E472A1"/>
    <w:rsid w:val="00E50A24"/>
    <w:rsid w:val="00E67E17"/>
    <w:rsid w:val="00E86515"/>
    <w:rsid w:val="00EA12A2"/>
    <w:rsid w:val="00ED402D"/>
    <w:rsid w:val="00ED5BC6"/>
    <w:rsid w:val="00EE291B"/>
    <w:rsid w:val="00F01434"/>
    <w:rsid w:val="00F237B9"/>
    <w:rsid w:val="00F30EF9"/>
    <w:rsid w:val="00F5611A"/>
    <w:rsid w:val="00F85290"/>
    <w:rsid w:val="00FB2BD0"/>
    <w:rsid w:val="00FB53CD"/>
    <w:rsid w:val="00FC11B4"/>
    <w:rsid w:val="00FC4CBF"/>
    <w:rsid w:val="00FD07DB"/>
    <w:rsid w:val="00FD0F0F"/>
    <w:rsid w:val="00FE1C3A"/>
    <w:rsid w:val="01CED55C"/>
    <w:rsid w:val="01DF55EE"/>
    <w:rsid w:val="0201C1EF"/>
    <w:rsid w:val="022CE915"/>
    <w:rsid w:val="02479478"/>
    <w:rsid w:val="02574C49"/>
    <w:rsid w:val="02DE3998"/>
    <w:rsid w:val="0309649D"/>
    <w:rsid w:val="037BE094"/>
    <w:rsid w:val="03A231EA"/>
    <w:rsid w:val="04A3540C"/>
    <w:rsid w:val="04A997FC"/>
    <w:rsid w:val="0506761E"/>
    <w:rsid w:val="052C1770"/>
    <w:rsid w:val="0575C4AE"/>
    <w:rsid w:val="059EB6DC"/>
    <w:rsid w:val="05F7F53F"/>
    <w:rsid w:val="05FA3911"/>
    <w:rsid w:val="0612D9E8"/>
    <w:rsid w:val="065FCF18"/>
    <w:rsid w:val="066CF943"/>
    <w:rsid w:val="0671358A"/>
    <w:rsid w:val="06CD54FF"/>
    <w:rsid w:val="06E3EE22"/>
    <w:rsid w:val="06E9FB07"/>
    <w:rsid w:val="07005A38"/>
    <w:rsid w:val="0711950F"/>
    <w:rsid w:val="075EA271"/>
    <w:rsid w:val="0760EFE6"/>
    <w:rsid w:val="07E2E254"/>
    <w:rsid w:val="083EBBF4"/>
    <w:rsid w:val="0863B832"/>
    <w:rsid w:val="08755CB2"/>
    <w:rsid w:val="08AF6D54"/>
    <w:rsid w:val="0961787A"/>
    <w:rsid w:val="0981CE50"/>
    <w:rsid w:val="09AB9D49"/>
    <w:rsid w:val="0A01F6C5"/>
    <w:rsid w:val="0A3FE880"/>
    <w:rsid w:val="0A98FCB0"/>
    <w:rsid w:val="0B6ED8A5"/>
    <w:rsid w:val="0BD7540F"/>
    <w:rsid w:val="0BDA5981"/>
    <w:rsid w:val="0BDBB8E1"/>
    <w:rsid w:val="0BECF3B8"/>
    <w:rsid w:val="0BF9A093"/>
    <w:rsid w:val="0C2659AD"/>
    <w:rsid w:val="0C959D14"/>
    <w:rsid w:val="0C99193C"/>
    <w:rsid w:val="0D7B1EA1"/>
    <w:rsid w:val="0D916D9B"/>
    <w:rsid w:val="0D99FEF0"/>
    <w:rsid w:val="0E357ABF"/>
    <w:rsid w:val="0E9740E0"/>
    <w:rsid w:val="0EBB54E6"/>
    <w:rsid w:val="0EBE933B"/>
    <w:rsid w:val="0F35220A"/>
    <w:rsid w:val="0F37CB4B"/>
    <w:rsid w:val="0F56745B"/>
    <w:rsid w:val="0F8ABA48"/>
    <w:rsid w:val="0FFA26CF"/>
    <w:rsid w:val="10701FD7"/>
    <w:rsid w:val="111DEAB1"/>
    <w:rsid w:val="119A5FC6"/>
    <w:rsid w:val="124AFA65"/>
    <w:rsid w:val="127EAAEA"/>
    <w:rsid w:val="12E8B771"/>
    <w:rsid w:val="12EDA743"/>
    <w:rsid w:val="13547F84"/>
    <w:rsid w:val="1388B70D"/>
    <w:rsid w:val="13AB2CBB"/>
    <w:rsid w:val="13B6D3F1"/>
    <w:rsid w:val="14233180"/>
    <w:rsid w:val="1485C751"/>
    <w:rsid w:val="1535C245"/>
    <w:rsid w:val="1580D2D5"/>
    <w:rsid w:val="15BF01E1"/>
    <w:rsid w:val="15CFB077"/>
    <w:rsid w:val="15F05BA8"/>
    <w:rsid w:val="17B6708A"/>
    <w:rsid w:val="17C95C6E"/>
    <w:rsid w:val="17CA15C4"/>
    <w:rsid w:val="17D820E7"/>
    <w:rsid w:val="181002B6"/>
    <w:rsid w:val="18423C61"/>
    <w:rsid w:val="18666B7E"/>
    <w:rsid w:val="18C26AF2"/>
    <w:rsid w:val="18CC8832"/>
    <w:rsid w:val="18D4B9D5"/>
    <w:rsid w:val="18F6A2A3"/>
    <w:rsid w:val="191C8A4D"/>
    <w:rsid w:val="197BAE22"/>
    <w:rsid w:val="19A69D97"/>
    <w:rsid w:val="19B7832B"/>
    <w:rsid w:val="1A023BDF"/>
    <w:rsid w:val="1A093368"/>
    <w:rsid w:val="1A713BF3"/>
    <w:rsid w:val="1A9A8889"/>
    <w:rsid w:val="1AAA7DF7"/>
    <w:rsid w:val="1AD28108"/>
    <w:rsid w:val="1AF508D5"/>
    <w:rsid w:val="1AFD9986"/>
    <w:rsid w:val="1B0231CE"/>
    <w:rsid w:val="1B0643AC"/>
    <w:rsid w:val="1B1B5A2B"/>
    <w:rsid w:val="1B73C198"/>
    <w:rsid w:val="1BC00F66"/>
    <w:rsid w:val="1BCD286D"/>
    <w:rsid w:val="1C7E09E5"/>
    <w:rsid w:val="1C7F9E5F"/>
    <w:rsid w:val="1CA2140D"/>
    <w:rsid w:val="1CC658C0"/>
    <w:rsid w:val="1CE2243D"/>
    <w:rsid w:val="1D0F91F9"/>
    <w:rsid w:val="1D289752"/>
    <w:rsid w:val="1D42E41C"/>
    <w:rsid w:val="1D4D9F3E"/>
    <w:rsid w:val="1DD29868"/>
    <w:rsid w:val="1E126E43"/>
    <w:rsid w:val="1E767E39"/>
    <w:rsid w:val="1EA67739"/>
    <w:rsid w:val="1EF1B14C"/>
    <w:rsid w:val="1F0287D8"/>
    <w:rsid w:val="1F1AC83C"/>
    <w:rsid w:val="1F5D2DF2"/>
    <w:rsid w:val="2060979C"/>
    <w:rsid w:val="20911645"/>
    <w:rsid w:val="20E6286F"/>
    <w:rsid w:val="2139E725"/>
    <w:rsid w:val="21758530"/>
    <w:rsid w:val="21B1AF7C"/>
    <w:rsid w:val="21E3031C"/>
    <w:rsid w:val="22221315"/>
    <w:rsid w:val="2263257B"/>
    <w:rsid w:val="227109A8"/>
    <w:rsid w:val="22C099C1"/>
    <w:rsid w:val="22C295E0"/>
    <w:rsid w:val="22D5B786"/>
    <w:rsid w:val="230D43B3"/>
    <w:rsid w:val="23A91E25"/>
    <w:rsid w:val="255847B0"/>
    <w:rsid w:val="259D384D"/>
    <w:rsid w:val="2606794B"/>
    <w:rsid w:val="266D50B0"/>
    <w:rsid w:val="26C0674F"/>
    <w:rsid w:val="2714EF2D"/>
    <w:rsid w:val="2730B9E2"/>
    <w:rsid w:val="27679B68"/>
    <w:rsid w:val="280F29E8"/>
    <w:rsid w:val="28191327"/>
    <w:rsid w:val="28A61ADC"/>
    <w:rsid w:val="28C972C2"/>
    <w:rsid w:val="28F2D561"/>
    <w:rsid w:val="294346F7"/>
    <w:rsid w:val="294460A0"/>
    <w:rsid w:val="2944F90A"/>
    <w:rsid w:val="29D1B14B"/>
    <w:rsid w:val="29FFFD1F"/>
    <w:rsid w:val="2AE7F37F"/>
    <w:rsid w:val="2B358FD3"/>
    <w:rsid w:val="2B482039"/>
    <w:rsid w:val="2BF7020C"/>
    <w:rsid w:val="2C10A9F7"/>
    <w:rsid w:val="2C503A99"/>
    <w:rsid w:val="2C6B5EF5"/>
    <w:rsid w:val="2C7C99CC"/>
    <w:rsid w:val="2C87E6E8"/>
    <w:rsid w:val="2CC972AE"/>
    <w:rsid w:val="2CDAAD85"/>
    <w:rsid w:val="2CFDDFF0"/>
    <w:rsid w:val="2D27F2B7"/>
    <w:rsid w:val="2E066BE4"/>
    <w:rsid w:val="2E186A2D"/>
    <w:rsid w:val="2E5BF5BE"/>
    <w:rsid w:val="2E691EB7"/>
    <w:rsid w:val="2E7FC0FB"/>
    <w:rsid w:val="2E8FA643"/>
    <w:rsid w:val="2E98E958"/>
    <w:rsid w:val="2ECB444E"/>
    <w:rsid w:val="2F2FBBEF"/>
    <w:rsid w:val="2FB43A8E"/>
    <w:rsid w:val="2FC8AEFD"/>
    <w:rsid w:val="2FF1DC9F"/>
    <w:rsid w:val="30A7B436"/>
    <w:rsid w:val="30AD4BB3"/>
    <w:rsid w:val="3157F875"/>
    <w:rsid w:val="31993DC3"/>
    <w:rsid w:val="321D6FE5"/>
    <w:rsid w:val="326C31BB"/>
    <w:rsid w:val="328705CF"/>
    <w:rsid w:val="33253BA2"/>
    <w:rsid w:val="333C8FDA"/>
    <w:rsid w:val="3341154F"/>
    <w:rsid w:val="3371BA6A"/>
    <w:rsid w:val="3379B388"/>
    <w:rsid w:val="340C3DE0"/>
    <w:rsid w:val="347670DA"/>
    <w:rsid w:val="3487ABB1"/>
    <w:rsid w:val="348F9937"/>
    <w:rsid w:val="34D48493"/>
    <w:rsid w:val="3504BF98"/>
    <w:rsid w:val="35B2FAD1"/>
    <w:rsid w:val="368AD2E0"/>
    <w:rsid w:val="369756BB"/>
    <w:rsid w:val="3713E217"/>
    <w:rsid w:val="37529E2D"/>
    <w:rsid w:val="37B63479"/>
    <w:rsid w:val="37ECDB4B"/>
    <w:rsid w:val="37F15902"/>
    <w:rsid w:val="381412DB"/>
    <w:rsid w:val="3829BFD7"/>
    <w:rsid w:val="38572D93"/>
    <w:rsid w:val="3891A6DC"/>
    <w:rsid w:val="38A1D48F"/>
    <w:rsid w:val="38D58514"/>
    <w:rsid w:val="39404E15"/>
    <w:rsid w:val="39541EAC"/>
    <w:rsid w:val="39630A5A"/>
    <w:rsid w:val="396D4DA8"/>
    <w:rsid w:val="39D1358D"/>
    <w:rsid w:val="3AD1E371"/>
    <w:rsid w:val="3AFEDABB"/>
    <w:rsid w:val="3B33A992"/>
    <w:rsid w:val="3B94E9E0"/>
    <w:rsid w:val="3BB034EE"/>
    <w:rsid w:val="3C03C1F5"/>
    <w:rsid w:val="3C03E109"/>
    <w:rsid w:val="3C5C62D3"/>
    <w:rsid w:val="3D20F515"/>
    <w:rsid w:val="3D645DCD"/>
    <w:rsid w:val="3D88190E"/>
    <w:rsid w:val="3DA4E459"/>
    <w:rsid w:val="3DBE0CB6"/>
    <w:rsid w:val="3E4FBD1C"/>
    <w:rsid w:val="3E6B3A04"/>
    <w:rsid w:val="3EA2A755"/>
    <w:rsid w:val="3EBDBD71"/>
    <w:rsid w:val="3EC83FBB"/>
    <w:rsid w:val="3EDE0B98"/>
    <w:rsid w:val="3EF606E7"/>
    <w:rsid w:val="3F1416ED"/>
    <w:rsid w:val="3F43E176"/>
    <w:rsid w:val="3F8064A3"/>
    <w:rsid w:val="40097269"/>
    <w:rsid w:val="402A1BC4"/>
    <w:rsid w:val="4034D1BC"/>
    <w:rsid w:val="4040ED27"/>
    <w:rsid w:val="41804D13"/>
    <w:rsid w:val="41AE72DD"/>
    <w:rsid w:val="41B779C0"/>
    <w:rsid w:val="41FA1713"/>
    <w:rsid w:val="42089238"/>
    <w:rsid w:val="42246BE5"/>
    <w:rsid w:val="427C675A"/>
    <w:rsid w:val="42CD56EA"/>
    <w:rsid w:val="431C1D74"/>
    <w:rsid w:val="4344BA40"/>
    <w:rsid w:val="43A39E64"/>
    <w:rsid w:val="43CC4371"/>
    <w:rsid w:val="440A891F"/>
    <w:rsid w:val="441425DD"/>
    <w:rsid w:val="442D4E3A"/>
    <w:rsid w:val="4464A87A"/>
    <w:rsid w:val="449EC578"/>
    <w:rsid w:val="44B7BF19"/>
    <w:rsid w:val="450D13CF"/>
    <w:rsid w:val="454824FA"/>
    <w:rsid w:val="463A95D9"/>
    <w:rsid w:val="4678DB2B"/>
    <w:rsid w:val="46AE0B38"/>
    <w:rsid w:val="46B02EAB"/>
    <w:rsid w:val="46D351A0"/>
    <w:rsid w:val="47DA8972"/>
    <w:rsid w:val="483CB270"/>
    <w:rsid w:val="4844B491"/>
    <w:rsid w:val="48DB6404"/>
    <w:rsid w:val="4909BDBC"/>
    <w:rsid w:val="490C3938"/>
    <w:rsid w:val="493089FE"/>
    <w:rsid w:val="4949A6C8"/>
    <w:rsid w:val="4A26004F"/>
    <w:rsid w:val="4A4CE9BD"/>
    <w:rsid w:val="4A604FA3"/>
    <w:rsid w:val="4AA0A19C"/>
    <w:rsid w:val="4AC3174A"/>
    <w:rsid w:val="4ACD0C1C"/>
    <w:rsid w:val="4C272548"/>
    <w:rsid w:val="4C2B3726"/>
    <w:rsid w:val="4C2E62CA"/>
    <w:rsid w:val="4C7ABE91"/>
    <w:rsid w:val="4D95ACCA"/>
    <w:rsid w:val="4F204623"/>
    <w:rsid w:val="4F854D96"/>
    <w:rsid w:val="4FAF0383"/>
    <w:rsid w:val="4FBD4902"/>
    <w:rsid w:val="5037AA18"/>
    <w:rsid w:val="5067D5B2"/>
    <w:rsid w:val="5068F90F"/>
    <w:rsid w:val="507A33E6"/>
    <w:rsid w:val="50DF4895"/>
    <w:rsid w:val="523ED345"/>
    <w:rsid w:val="52639C3B"/>
    <w:rsid w:val="529A78AA"/>
    <w:rsid w:val="52CC19F2"/>
    <w:rsid w:val="530E1221"/>
    <w:rsid w:val="531E8A53"/>
    <w:rsid w:val="534212FA"/>
    <w:rsid w:val="538139BF"/>
    <w:rsid w:val="5394835B"/>
    <w:rsid w:val="5413D35D"/>
    <w:rsid w:val="54204C52"/>
    <w:rsid w:val="542A49A7"/>
    <w:rsid w:val="54AC0795"/>
    <w:rsid w:val="550D2BD2"/>
    <w:rsid w:val="55221E78"/>
    <w:rsid w:val="55AFA3BE"/>
    <w:rsid w:val="55F84897"/>
    <w:rsid w:val="56524050"/>
    <w:rsid w:val="56775A57"/>
    <w:rsid w:val="5697FF3C"/>
    <w:rsid w:val="573E3260"/>
    <w:rsid w:val="57447C96"/>
    <w:rsid w:val="575CAEF6"/>
    <w:rsid w:val="577AD55D"/>
    <w:rsid w:val="57A5B268"/>
    <w:rsid w:val="57B9184E"/>
    <w:rsid w:val="57C23F5C"/>
    <w:rsid w:val="57C85AE7"/>
    <w:rsid w:val="58BFF964"/>
    <w:rsid w:val="58C42BC7"/>
    <w:rsid w:val="58DF56FA"/>
    <w:rsid w:val="59221BA6"/>
    <w:rsid w:val="5965CCC0"/>
    <w:rsid w:val="5980856B"/>
    <w:rsid w:val="5A2E61D3"/>
    <w:rsid w:val="5A49E469"/>
    <w:rsid w:val="5A7645FD"/>
    <w:rsid w:val="5A77A51B"/>
    <w:rsid w:val="5AD9CDA7"/>
    <w:rsid w:val="5B70CE11"/>
    <w:rsid w:val="5B7C6D56"/>
    <w:rsid w:val="5B867994"/>
    <w:rsid w:val="5BE7C94D"/>
    <w:rsid w:val="5C745E2E"/>
    <w:rsid w:val="5CB0A980"/>
    <w:rsid w:val="5D21E3B1"/>
    <w:rsid w:val="5DB2C81D"/>
    <w:rsid w:val="5DBAB5A3"/>
    <w:rsid w:val="5DBFFC33"/>
    <w:rsid w:val="5E102E8F"/>
    <w:rsid w:val="5E10DBD6"/>
    <w:rsid w:val="5E2216AD"/>
    <w:rsid w:val="5E8D62B3"/>
    <w:rsid w:val="5E967CBA"/>
    <w:rsid w:val="5E9DFEEA"/>
    <w:rsid w:val="5EC900BE"/>
    <w:rsid w:val="5F7693CB"/>
    <w:rsid w:val="5FA3BA5E"/>
    <w:rsid w:val="5FAB7849"/>
    <w:rsid w:val="5FB0C44D"/>
    <w:rsid w:val="60379D5C"/>
    <w:rsid w:val="60441ABC"/>
    <w:rsid w:val="60537709"/>
    <w:rsid w:val="6061B023"/>
    <w:rsid w:val="6076FBFB"/>
    <w:rsid w:val="60D2367F"/>
    <w:rsid w:val="61543487"/>
    <w:rsid w:val="616AF246"/>
    <w:rsid w:val="61814A72"/>
    <w:rsid w:val="618BE7E1"/>
    <w:rsid w:val="619960D2"/>
    <w:rsid w:val="61F07FCA"/>
    <w:rsid w:val="623AF3D7"/>
    <w:rsid w:val="627F41A4"/>
    <w:rsid w:val="62A28D41"/>
    <w:rsid w:val="62DC5537"/>
    <w:rsid w:val="6306C2A7"/>
    <w:rsid w:val="6372051B"/>
    <w:rsid w:val="637BBB7E"/>
    <w:rsid w:val="63B04AC9"/>
    <w:rsid w:val="63D762A5"/>
    <w:rsid w:val="6410CECA"/>
    <w:rsid w:val="642209A1"/>
    <w:rsid w:val="650FB7D5"/>
    <w:rsid w:val="65178BDF"/>
    <w:rsid w:val="65CE1B5D"/>
    <w:rsid w:val="668B9260"/>
    <w:rsid w:val="66B3627E"/>
    <w:rsid w:val="66B8F3AE"/>
    <w:rsid w:val="67172D5B"/>
    <w:rsid w:val="671E0C58"/>
    <w:rsid w:val="67BFABA2"/>
    <w:rsid w:val="67C86B7E"/>
    <w:rsid w:val="68512B35"/>
    <w:rsid w:val="689841D6"/>
    <w:rsid w:val="68D241A4"/>
    <w:rsid w:val="68DD4864"/>
    <w:rsid w:val="6912A482"/>
    <w:rsid w:val="69FA788E"/>
    <w:rsid w:val="6A1D7A7D"/>
    <w:rsid w:val="6ACE3EBF"/>
    <w:rsid w:val="6B0099B5"/>
    <w:rsid w:val="6B4986BE"/>
    <w:rsid w:val="6B6A932B"/>
    <w:rsid w:val="6BC4707B"/>
    <w:rsid w:val="6C2E1183"/>
    <w:rsid w:val="6C4A8CAD"/>
    <w:rsid w:val="6C9BFB47"/>
    <w:rsid w:val="6C9C6A16"/>
    <w:rsid w:val="6D321950"/>
    <w:rsid w:val="6D9F973C"/>
    <w:rsid w:val="6E136D5A"/>
    <w:rsid w:val="6E2EED26"/>
    <w:rsid w:val="6F5230E4"/>
    <w:rsid w:val="6F6CA9CE"/>
    <w:rsid w:val="6FD40AD8"/>
    <w:rsid w:val="709CBD50"/>
    <w:rsid w:val="70F591DD"/>
    <w:rsid w:val="71087A2F"/>
    <w:rsid w:val="714454A8"/>
    <w:rsid w:val="71505A8F"/>
    <w:rsid w:val="716D9ADC"/>
    <w:rsid w:val="7177C8BF"/>
    <w:rsid w:val="719FCC01"/>
    <w:rsid w:val="71A8ECC4"/>
    <w:rsid w:val="71E85038"/>
    <w:rsid w:val="72058A73"/>
    <w:rsid w:val="72096258"/>
    <w:rsid w:val="729F88AE"/>
    <w:rsid w:val="736A0F8E"/>
    <w:rsid w:val="73A15AD4"/>
    <w:rsid w:val="740CBD5E"/>
    <w:rsid w:val="74401AF1"/>
    <w:rsid w:val="74845906"/>
    <w:rsid w:val="74875F2C"/>
    <w:rsid w:val="74891E63"/>
    <w:rsid w:val="74DA75CB"/>
    <w:rsid w:val="74E17E87"/>
    <w:rsid w:val="74F62373"/>
    <w:rsid w:val="752BF05E"/>
    <w:rsid w:val="759609B3"/>
    <w:rsid w:val="75D72970"/>
    <w:rsid w:val="75DEA62D"/>
    <w:rsid w:val="7639FF0B"/>
    <w:rsid w:val="7651A14C"/>
    <w:rsid w:val="765B6905"/>
    <w:rsid w:val="76711388"/>
    <w:rsid w:val="76C7C0BF"/>
    <w:rsid w:val="76D8FB96"/>
    <w:rsid w:val="771499A1"/>
    <w:rsid w:val="772D5125"/>
    <w:rsid w:val="77803E60"/>
    <w:rsid w:val="77A25B55"/>
    <w:rsid w:val="781DAF81"/>
    <w:rsid w:val="786EFCE5"/>
    <w:rsid w:val="7870BA19"/>
    <w:rsid w:val="7874CBF7"/>
    <w:rsid w:val="78836429"/>
    <w:rsid w:val="788606CE"/>
    <w:rsid w:val="78A84F1C"/>
    <w:rsid w:val="78FB59B4"/>
    <w:rsid w:val="7909F5C3"/>
    <w:rsid w:val="7994157B"/>
    <w:rsid w:val="79BCE479"/>
    <w:rsid w:val="79C3C376"/>
    <w:rsid w:val="79D0F757"/>
    <w:rsid w:val="79DF2117"/>
    <w:rsid w:val="79E63924"/>
    <w:rsid w:val="79F92FCB"/>
    <w:rsid w:val="7A732612"/>
    <w:rsid w:val="7ADBBB62"/>
    <w:rsid w:val="7C00C248"/>
    <w:rsid w:val="7C653035"/>
    <w:rsid w:val="7C9556B4"/>
    <w:rsid w:val="7CFB6438"/>
    <w:rsid w:val="7CFCD497"/>
    <w:rsid w:val="7D616577"/>
    <w:rsid w:val="7D82F0C9"/>
    <w:rsid w:val="7DA4802F"/>
    <w:rsid w:val="7E5907ED"/>
    <w:rsid w:val="7F0D46A3"/>
    <w:rsid w:val="7F0FC63E"/>
    <w:rsid w:val="7F1FAB86"/>
    <w:rsid w:val="7F833FAB"/>
    <w:rsid w:val="7FA698D5"/>
    <w:rsid w:val="7FB4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A5AC7"/>
  <w15:chartTrackingRefBased/>
  <w15:docId w15:val="{AE0A8031-71B0-460C-B49E-8510B5C2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9C9"/>
  </w:style>
  <w:style w:type="paragraph" w:styleId="Heading1">
    <w:name w:val="heading 1"/>
    <w:basedOn w:val="Normal"/>
    <w:next w:val="Normal"/>
    <w:link w:val="Heading1Char"/>
    <w:uiPriority w:val="9"/>
    <w:qFormat/>
    <w:rsid w:val="00861F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29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4D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7CD"/>
    <w:pPr>
      <w:ind w:left="720"/>
      <w:contextualSpacing/>
    </w:pPr>
  </w:style>
  <w:style w:type="character" w:styleId="Hyperlink">
    <w:name w:val="Hyperlink"/>
    <w:basedOn w:val="DefaultParagraphFont"/>
    <w:uiPriority w:val="99"/>
    <w:unhideWhenUsed/>
    <w:rsid w:val="00FD0F0F"/>
    <w:rPr>
      <w:color w:val="0563C1" w:themeColor="hyperlink"/>
      <w:u w:val="single"/>
    </w:rPr>
  </w:style>
  <w:style w:type="character" w:customStyle="1" w:styleId="UnresolvedMention1">
    <w:name w:val="Unresolved Mention1"/>
    <w:basedOn w:val="DefaultParagraphFont"/>
    <w:uiPriority w:val="99"/>
    <w:semiHidden/>
    <w:unhideWhenUsed/>
    <w:rsid w:val="00FD0F0F"/>
    <w:rPr>
      <w:color w:val="605E5C"/>
      <w:shd w:val="clear" w:color="auto" w:fill="E1DFDD"/>
    </w:rPr>
  </w:style>
  <w:style w:type="character" w:styleId="Emphasis">
    <w:name w:val="Emphasis"/>
    <w:basedOn w:val="DefaultParagraphFont"/>
    <w:uiPriority w:val="20"/>
    <w:qFormat/>
    <w:rsid w:val="00FE1C3A"/>
    <w:rPr>
      <w:i/>
      <w:iCs/>
    </w:rPr>
  </w:style>
  <w:style w:type="paragraph" w:styleId="NoSpacing">
    <w:name w:val="No Spacing"/>
    <w:uiPriority w:val="1"/>
    <w:qFormat/>
    <w:pPr>
      <w:spacing w:after="0" w:line="240" w:lineRule="auto"/>
    </w:pPr>
  </w:style>
  <w:style w:type="paragraph" w:styleId="Header">
    <w:name w:val="header"/>
    <w:basedOn w:val="Normal"/>
    <w:link w:val="HeaderChar"/>
    <w:uiPriority w:val="99"/>
    <w:semiHidden/>
    <w:unhideWhenUsed/>
    <w:rsid w:val="009438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3893"/>
  </w:style>
  <w:style w:type="paragraph" w:styleId="Footer">
    <w:name w:val="footer"/>
    <w:basedOn w:val="Normal"/>
    <w:link w:val="FooterChar"/>
    <w:uiPriority w:val="99"/>
    <w:semiHidden/>
    <w:unhideWhenUsed/>
    <w:rsid w:val="009438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3893"/>
  </w:style>
  <w:style w:type="character" w:customStyle="1" w:styleId="Heading2Char">
    <w:name w:val="Heading 2 Char"/>
    <w:basedOn w:val="DefaultParagraphFont"/>
    <w:link w:val="Heading2"/>
    <w:uiPriority w:val="9"/>
    <w:rsid w:val="00EE291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61F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24DD1"/>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90304E"/>
    <w:rPr>
      <w:sz w:val="16"/>
      <w:szCs w:val="16"/>
    </w:rPr>
  </w:style>
  <w:style w:type="paragraph" w:styleId="CommentText">
    <w:name w:val="annotation text"/>
    <w:basedOn w:val="Normal"/>
    <w:link w:val="CommentTextChar"/>
    <w:uiPriority w:val="99"/>
    <w:semiHidden/>
    <w:unhideWhenUsed/>
    <w:rsid w:val="0090304E"/>
    <w:pPr>
      <w:spacing w:line="240" w:lineRule="auto"/>
    </w:pPr>
    <w:rPr>
      <w:sz w:val="20"/>
      <w:szCs w:val="20"/>
    </w:rPr>
  </w:style>
  <w:style w:type="character" w:customStyle="1" w:styleId="CommentTextChar">
    <w:name w:val="Comment Text Char"/>
    <w:basedOn w:val="DefaultParagraphFont"/>
    <w:link w:val="CommentText"/>
    <w:uiPriority w:val="99"/>
    <w:semiHidden/>
    <w:rsid w:val="0090304E"/>
    <w:rPr>
      <w:sz w:val="20"/>
      <w:szCs w:val="20"/>
    </w:rPr>
  </w:style>
  <w:style w:type="paragraph" w:styleId="CommentSubject">
    <w:name w:val="annotation subject"/>
    <w:basedOn w:val="CommentText"/>
    <w:next w:val="CommentText"/>
    <w:link w:val="CommentSubjectChar"/>
    <w:uiPriority w:val="99"/>
    <w:semiHidden/>
    <w:unhideWhenUsed/>
    <w:rsid w:val="0090304E"/>
    <w:rPr>
      <w:b/>
      <w:bCs/>
    </w:rPr>
  </w:style>
  <w:style w:type="character" w:customStyle="1" w:styleId="CommentSubjectChar">
    <w:name w:val="Comment Subject Char"/>
    <w:basedOn w:val="CommentTextChar"/>
    <w:link w:val="CommentSubject"/>
    <w:uiPriority w:val="99"/>
    <w:semiHidden/>
    <w:rsid w:val="0090304E"/>
    <w:rPr>
      <w:b/>
      <w:bCs/>
      <w:sz w:val="20"/>
      <w:szCs w:val="20"/>
    </w:rPr>
  </w:style>
  <w:style w:type="paragraph" w:styleId="BalloonText">
    <w:name w:val="Balloon Text"/>
    <w:basedOn w:val="Normal"/>
    <w:link w:val="BalloonTextChar"/>
    <w:uiPriority w:val="99"/>
    <w:semiHidden/>
    <w:unhideWhenUsed/>
    <w:rsid w:val="000C7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5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43308">
      <w:bodyDiv w:val="1"/>
      <w:marLeft w:val="0"/>
      <w:marRight w:val="0"/>
      <w:marTop w:val="0"/>
      <w:marBottom w:val="0"/>
      <w:divBdr>
        <w:top w:val="none" w:sz="0" w:space="0" w:color="auto"/>
        <w:left w:val="none" w:sz="0" w:space="0" w:color="auto"/>
        <w:bottom w:val="none" w:sz="0" w:space="0" w:color="auto"/>
        <w:right w:val="none" w:sz="0" w:space="0" w:color="auto"/>
      </w:divBdr>
    </w:div>
    <w:div w:id="263154197">
      <w:bodyDiv w:val="1"/>
      <w:marLeft w:val="0"/>
      <w:marRight w:val="0"/>
      <w:marTop w:val="0"/>
      <w:marBottom w:val="0"/>
      <w:divBdr>
        <w:top w:val="none" w:sz="0" w:space="0" w:color="auto"/>
        <w:left w:val="none" w:sz="0" w:space="0" w:color="auto"/>
        <w:bottom w:val="none" w:sz="0" w:space="0" w:color="auto"/>
        <w:right w:val="none" w:sz="0" w:space="0" w:color="auto"/>
      </w:divBdr>
    </w:div>
    <w:div w:id="279142744">
      <w:bodyDiv w:val="1"/>
      <w:marLeft w:val="0"/>
      <w:marRight w:val="0"/>
      <w:marTop w:val="0"/>
      <w:marBottom w:val="0"/>
      <w:divBdr>
        <w:top w:val="none" w:sz="0" w:space="0" w:color="auto"/>
        <w:left w:val="none" w:sz="0" w:space="0" w:color="auto"/>
        <w:bottom w:val="none" w:sz="0" w:space="0" w:color="auto"/>
        <w:right w:val="none" w:sz="0" w:space="0" w:color="auto"/>
      </w:divBdr>
    </w:div>
    <w:div w:id="594946106">
      <w:bodyDiv w:val="1"/>
      <w:marLeft w:val="0"/>
      <w:marRight w:val="0"/>
      <w:marTop w:val="0"/>
      <w:marBottom w:val="0"/>
      <w:divBdr>
        <w:top w:val="none" w:sz="0" w:space="0" w:color="auto"/>
        <w:left w:val="none" w:sz="0" w:space="0" w:color="auto"/>
        <w:bottom w:val="none" w:sz="0" w:space="0" w:color="auto"/>
        <w:right w:val="none" w:sz="0" w:space="0" w:color="auto"/>
      </w:divBdr>
    </w:div>
    <w:div w:id="739253056">
      <w:bodyDiv w:val="1"/>
      <w:marLeft w:val="0"/>
      <w:marRight w:val="0"/>
      <w:marTop w:val="0"/>
      <w:marBottom w:val="0"/>
      <w:divBdr>
        <w:top w:val="none" w:sz="0" w:space="0" w:color="auto"/>
        <w:left w:val="none" w:sz="0" w:space="0" w:color="auto"/>
        <w:bottom w:val="none" w:sz="0" w:space="0" w:color="auto"/>
        <w:right w:val="none" w:sz="0" w:space="0" w:color="auto"/>
      </w:divBdr>
    </w:div>
    <w:div w:id="842623406">
      <w:bodyDiv w:val="1"/>
      <w:marLeft w:val="0"/>
      <w:marRight w:val="0"/>
      <w:marTop w:val="0"/>
      <w:marBottom w:val="0"/>
      <w:divBdr>
        <w:top w:val="none" w:sz="0" w:space="0" w:color="auto"/>
        <w:left w:val="none" w:sz="0" w:space="0" w:color="auto"/>
        <w:bottom w:val="none" w:sz="0" w:space="0" w:color="auto"/>
        <w:right w:val="none" w:sz="0" w:space="0" w:color="auto"/>
      </w:divBdr>
    </w:div>
    <w:div w:id="1498377354">
      <w:bodyDiv w:val="1"/>
      <w:marLeft w:val="0"/>
      <w:marRight w:val="0"/>
      <w:marTop w:val="0"/>
      <w:marBottom w:val="0"/>
      <w:divBdr>
        <w:top w:val="none" w:sz="0" w:space="0" w:color="auto"/>
        <w:left w:val="none" w:sz="0" w:space="0" w:color="auto"/>
        <w:bottom w:val="none" w:sz="0" w:space="0" w:color="auto"/>
        <w:right w:val="none" w:sz="0" w:space="0" w:color="auto"/>
      </w:divBdr>
      <w:divsChild>
        <w:div w:id="947541884">
          <w:marLeft w:val="0"/>
          <w:marRight w:val="0"/>
          <w:marTop w:val="0"/>
          <w:marBottom w:val="0"/>
          <w:divBdr>
            <w:top w:val="none" w:sz="0" w:space="0" w:color="auto"/>
            <w:left w:val="none" w:sz="0" w:space="0" w:color="auto"/>
            <w:bottom w:val="none" w:sz="0" w:space="0" w:color="auto"/>
            <w:right w:val="none" w:sz="0" w:space="0" w:color="auto"/>
          </w:divBdr>
          <w:divsChild>
            <w:div w:id="1898542476">
              <w:marLeft w:val="0"/>
              <w:marRight w:val="0"/>
              <w:marTop w:val="0"/>
              <w:marBottom w:val="0"/>
              <w:divBdr>
                <w:top w:val="none" w:sz="0" w:space="0" w:color="auto"/>
                <w:left w:val="none" w:sz="0" w:space="0" w:color="auto"/>
                <w:bottom w:val="none" w:sz="0" w:space="0" w:color="auto"/>
                <w:right w:val="none" w:sz="0" w:space="0" w:color="auto"/>
              </w:divBdr>
              <w:divsChild>
                <w:div w:id="1998606601">
                  <w:marLeft w:val="0"/>
                  <w:marRight w:val="0"/>
                  <w:marTop w:val="0"/>
                  <w:marBottom w:val="0"/>
                  <w:divBdr>
                    <w:top w:val="none" w:sz="0" w:space="0" w:color="auto"/>
                    <w:left w:val="none" w:sz="0" w:space="0" w:color="auto"/>
                    <w:bottom w:val="none" w:sz="0" w:space="0" w:color="auto"/>
                    <w:right w:val="none" w:sz="0" w:space="0" w:color="auto"/>
                  </w:divBdr>
                  <w:divsChild>
                    <w:div w:id="1837574967">
                      <w:marLeft w:val="0"/>
                      <w:marRight w:val="0"/>
                      <w:marTop w:val="0"/>
                      <w:marBottom w:val="0"/>
                      <w:divBdr>
                        <w:top w:val="none" w:sz="0" w:space="0" w:color="auto"/>
                        <w:left w:val="none" w:sz="0" w:space="0" w:color="auto"/>
                        <w:bottom w:val="none" w:sz="0" w:space="0" w:color="auto"/>
                        <w:right w:val="none" w:sz="0" w:space="0" w:color="auto"/>
                      </w:divBdr>
                      <w:divsChild>
                        <w:div w:id="1985424753">
                          <w:marLeft w:val="0"/>
                          <w:marRight w:val="0"/>
                          <w:marTop w:val="0"/>
                          <w:marBottom w:val="0"/>
                          <w:divBdr>
                            <w:top w:val="none" w:sz="0" w:space="0" w:color="auto"/>
                            <w:left w:val="none" w:sz="0" w:space="0" w:color="auto"/>
                            <w:bottom w:val="none" w:sz="0" w:space="0" w:color="auto"/>
                            <w:right w:val="none" w:sz="0" w:space="0" w:color="auto"/>
                          </w:divBdr>
                          <w:divsChild>
                            <w:div w:id="8669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558768">
          <w:marLeft w:val="0"/>
          <w:marRight w:val="0"/>
          <w:marTop w:val="0"/>
          <w:marBottom w:val="0"/>
          <w:divBdr>
            <w:top w:val="none" w:sz="0" w:space="0" w:color="auto"/>
            <w:left w:val="none" w:sz="0" w:space="0" w:color="auto"/>
            <w:bottom w:val="none" w:sz="0" w:space="0" w:color="auto"/>
            <w:right w:val="none" w:sz="0" w:space="0" w:color="auto"/>
          </w:divBdr>
          <w:divsChild>
            <w:div w:id="112527606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9130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uild.fhir.org/ig/HL7/carin-bb/1_Background.html" TargetMode="External"/><Relationship Id="rId18" Type="http://schemas.openxmlformats.org/officeDocument/2006/relationships/hyperlink" Target="https://build.fhir.org/ig/HL7/davinci-pct/use_cases.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build.fhir.org/ig/HL7/davinci-pct/formal_specification.html" TargetMode="External"/><Relationship Id="rId7" Type="http://schemas.openxmlformats.org/officeDocument/2006/relationships/webSettings" Target="webSettings.xml"/><Relationship Id="rId12" Type="http://schemas.openxmlformats.org/officeDocument/2006/relationships/hyperlink" Target="https://build.fhir.org/ig/HL7/davinci-pct/underlying_technologies.html" TargetMode="External"/><Relationship Id="rId17" Type="http://schemas.openxmlformats.org/officeDocument/2006/relationships/hyperlink" Target="https://build.fhir.org/ig/HL7/davinci-pct/use_case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uild.fhir.org/ig/HL7/davinci-pct/use_cases.html" TargetMode="External"/><Relationship Id="rId20" Type="http://schemas.openxmlformats.org/officeDocument/2006/relationships/hyperlink" Target="https://build.fhir.org/ig/HL7/davinci-pct/formal_specification.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ild.fhir.org/ig/HL7/carin-bb/1_Background.html" TargetMode="External"/><Relationship Id="rId24" Type="http://schemas.openxmlformats.org/officeDocument/2006/relationships/hyperlink" Target="https://build.fhir.org/ig/HL7/davinci-pct/index.html" TargetMode="External"/><Relationship Id="rId5" Type="http://schemas.openxmlformats.org/officeDocument/2006/relationships/styles" Target="styles.xml"/><Relationship Id="rId15" Type="http://schemas.openxmlformats.org/officeDocument/2006/relationships/hyperlink" Target="https://build.fhir.org/ig/HL7/davinci-pct/use_cases.html" TargetMode="External"/><Relationship Id="rId23" Type="http://schemas.openxmlformats.org/officeDocument/2006/relationships/hyperlink" Target="https://build.fhir.org/ig/HL7/davinci-pct/terminology_licensure.html" TargetMode="External"/><Relationship Id="rId28" Type="http://schemas.microsoft.com/office/2018/08/relationships/commentsExtensible" Target="commentsExtensible.xml"/><Relationship Id="rId10" Type="http://schemas.openxmlformats.org/officeDocument/2006/relationships/hyperlink" Target="https://build.fhir.org/ig/HL7/davinci-pct/index.html" TargetMode="External"/><Relationship Id="rId19" Type="http://schemas.openxmlformats.org/officeDocument/2006/relationships/hyperlink" Target="https://www.congress.gov/bill/116th-congress/house-bill/13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uild.fhir.org/ig/HL7/davinci-pct/use_cases.html" TargetMode="External"/><Relationship Id="rId22" Type="http://schemas.openxmlformats.org/officeDocument/2006/relationships/hyperlink" Target="https://build.fhir.org/ig/HL7/davinci-pct/terminology_licensure.html" TargetMode="Externa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87A226B8040F449EFA06E73576B5AA" ma:contentTypeVersion="10" ma:contentTypeDescription="Create a new document." ma:contentTypeScope="" ma:versionID="9e53f8310004bec248627b01fe8d06ce">
  <xsd:schema xmlns:xsd="http://www.w3.org/2001/XMLSchema" xmlns:xs="http://www.w3.org/2001/XMLSchema" xmlns:p="http://schemas.microsoft.com/office/2006/metadata/properties" xmlns:ns2="a83ee722-876f-4a32-ac66-e6453654df81" xmlns:ns3="eda7bfc1-20fd-4a98-90bb-0a92325c8a45" targetNamespace="http://schemas.microsoft.com/office/2006/metadata/properties" ma:root="true" ma:fieldsID="c5975f23986ba663351469d9895134a5" ns2:_="" ns3:_="">
    <xsd:import namespace="a83ee722-876f-4a32-ac66-e6453654df81"/>
    <xsd:import namespace="eda7bfc1-20fd-4a98-90bb-0a92325c8a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ee722-876f-4a32-ac66-e6453654d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a7bfc1-20fd-4a98-90bb-0a92325c8a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3AC10E-5C59-4187-95E9-69B252F530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6DEFFE-545F-402E-A136-DAF434893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ee722-876f-4a32-ac66-e6453654df81"/>
    <ds:schemaRef ds:uri="eda7bfc1-20fd-4a98-90bb-0a92325c8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89CF37-497F-45F4-932C-F8325E5B6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2265</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Taylor</dc:creator>
  <cp:keywords/>
  <dc:description/>
  <cp:lastModifiedBy>Taylor, Pat</cp:lastModifiedBy>
  <cp:revision>5</cp:revision>
  <cp:lastPrinted>2021-11-08T15:43:00Z</cp:lastPrinted>
  <dcterms:created xsi:type="dcterms:W3CDTF">2021-11-12T17:32:00Z</dcterms:created>
  <dcterms:modified xsi:type="dcterms:W3CDTF">2021-11-12T17:53:00Z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72476-9fad-428e-bd1c-a3a17c3bbc75_Enabled">
    <vt:lpwstr>true</vt:lpwstr>
  </property>
  <property fmtid="{D5CDD505-2E9C-101B-9397-08002B2CF9AE}" pid="3" name="MSIP_Label_6a772476-9fad-428e-bd1c-a3a17c3bbc75_SetDate">
    <vt:lpwstr>2021-09-27T16:02:31Z</vt:lpwstr>
  </property>
  <property fmtid="{D5CDD505-2E9C-101B-9397-08002B2CF9AE}" pid="4" name="MSIP_Label_6a772476-9fad-428e-bd1c-a3a17c3bbc75_Method">
    <vt:lpwstr>Standard</vt:lpwstr>
  </property>
  <property fmtid="{D5CDD505-2E9C-101B-9397-08002B2CF9AE}" pid="5" name="MSIP_Label_6a772476-9fad-428e-bd1c-a3a17c3bbc75_Name">
    <vt:lpwstr>Confidential Information</vt:lpwstr>
  </property>
  <property fmtid="{D5CDD505-2E9C-101B-9397-08002B2CF9AE}" pid="6" name="MSIP_Label_6a772476-9fad-428e-bd1c-a3a17c3bbc75_SiteId">
    <vt:lpwstr>bb087376-1284-4173-9385-a6766cdfef8c</vt:lpwstr>
  </property>
  <property fmtid="{D5CDD505-2E9C-101B-9397-08002B2CF9AE}" pid="7" name="MSIP_Label_6a772476-9fad-428e-bd1c-a3a17c3bbc75_ActionId">
    <vt:lpwstr>83ae8552-28dc-4b2b-8f28-1087d32b4616</vt:lpwstr>
  </property>
  <property fmtid="{D5CDD505-2E9C-101B-9397-08002B2CF9AE}" pid="8" name="MSIP_Label_6a772476-9fad-428e-bd1c-a3a17c3bbc75_ContentBits">
    <vt:lpwstr>0</vt:lpwstr>
  </property>
  <property fmtid="{D5CDD505-2E9C-101B-9397-08002B2CF9AE}" pid="9" name="ContentTypeId">
    <vt:lpwstr>0x0101001687A226B8040F449EFA06E73576B5AA</vt:lpwstr>
  </property>
</Properties>
</file>