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6C7" w:rsidRDefault="00D416C7" w14:paraId="1F984257" w14:textId="6F3E3BD2">
      <w:r>
        <w:t>Feedback, Da</w:t>
      </w:r>
      <w:r w:rsidR="2F2FBBEF">
        <w:t xml:space="preserve"> </w:t>
      </w:r>
      <w:r>
        <w:t>Vinci PCT Implementation Guide</w:t>
      </w:r>
      <w:r w:rsidR="00CE67C9">
        <w:t xml:space="preserve"> – reviewed 9/27/2021</w:t>
      </w:r>
    </w:p>
    <w:p w:rsidR="00D416C7" w:rsidP="00A0616A" w:rsidRDefault="00FD0F0F" w14:paraId="3AE8905D" w14:textId="5086ACEE">
      <w:pPr>
        <w:ind w:left="360"/>
        <w:rPr>
          <w:b/>
          <w:bCs/>
        </w:rPr>
      </w:pPr>
      <w:r w:rsidRPr="28C972C2" w:rsidR="00FD0F0F">
        <w:rPr>
          <w:b w:val="1"/>
          <w:bCs w:val="1"/>
        </w:rPr>
        <w:t xml:space="preserve">Several places in the </w:t>
      </w:r>
      <w:r w:rsidRPr="28C972C2" w:rsidR="00CE67C9">
        <w:rPr>
          <w:b w:val="1"/>
          <w:bCs w:val="1"/>
        </w:rPr>
        <w:t>IG convey</w:t>
      </w:r>
      <w:r w:rsidRPr="28C972C2" w:rsidR="006407CD">
        <w:rPr>
          <w:b w:val="1"/>
          <w:bCs w:val="1"/>
        </w:rPr>
        <w:t xml:space="preserve"> that the AEOB from the </w:t>
      </w:r>
      <w:r w:rsidRPr="28C972C2" w:rsidR="00CE67C9">
        <w:rPr>
          <w:b w:val="1"/>
          <w:bCs w:val="1"/>
        </w:rPr>
        <w:t xml:space="preserve">payer to the </w:t>
      </w:r>
      <w:r w:rsidRPr="28C972C2" w:rsidR="006407CD">
        <w:rPr>
          <w:b w:val="1"/>
          <w:bCs w:val="1"/>
        </w:rPr>
        <w:t xml:space="preserve">provider is required.  This is not required by the </w:t>
      </w:r>
      <w:r w:rsidRPr="28C972C2" w:rsidR="00FE1C3A">
        <w:rPr>
          <w:b w:val="1"/>
          <w:bCs w:val="1"/>
        </w:rPr>
        <w:t>No Surprises Act</w:t>
      </w:r>
      <w:r w:rsidRPr="28C972C2" w:rsidR="006407CD">
        <w:rPr>
          <w:b w:val="1"/>
          <w:bCs w:val="1"/>
        </w:rPr>
        <w:t xml:space="preserve">.  The workgroup agreed that this would be an optional </w:t>
      </w:r>
      <w:r w:rsidRPr="28C972C2" w:rsidR="006407CD">
        <w:rPr>
          <w:b w:val="1"/>
          <w:bCs w:val="1"/>
        </w:rPr>
        <w:t>feature</w:t>
      </w:r>
      <w:r w:rsidRPr="28C972C2" w:rsidR="006407CD">
        <w:rPr>
          <w:b w:val="1"/>
          <w:bCs w:val="1"/>
        </w:rPr>
        <w:t xml:space="preserve"> but the IG does not reflect the optionality.  </w:t>
      </w:r>
      <w:r w:rsidRPr="28C972C2" w:rsidR="002D48D4">
        <w:rPr>
          <w:b w:val="1"/>
          <w:bCs w:val="1"/>
        </w:rPr>
        <w:t xml:space="preserve">We ultimately support this </w:t>
      </w:r>
      <w:r w:rsidRPr="28C972C2" w:rsidR="002D48D4">
        <w:rPr>
          <w:b w:val="1"/>
          <w:bCs w:val="1"/>
        </w:rPr>
        <w:t>requirement, but</w:t>
      </w:r>
      <w:r w:rsidRPr="28C972C2" w:rsidR="002D48D4">
        <w:rPr>
          <w:b w:val="1"/>
          <w:bCs w:val="1"/>
        </w:rPr>
        <w:t xml:space="preserve"> feel it should be moved to a later phase. There are several open considerations that will need to be addressed (ex. what information can be shared with whom, is member approval needed, </w:t>
      </w:r>
      <w:r w:rsidRPr="28C972C2" w:rsidR="72096258">
        <w:rPr>
          <w:b w:val="1"/>
          <w:bCs w:val="1"/>
        </w:rPr>
        <w:t>etc.</w:t>
      </w:r>
      <w:r w:rsidRPr="28C972C2" w:rsidR="002D48D4">
        <w:rPr>
          <w:b w:val="1"/>
          <w:bCs w:val="1"/>
        </w:rPr>
        <w:t>) before this can be supported by payers.</w:t>
      </w:r>
    </w:p>
    <w:p w:rsidR="2714EF2D" w:rsidP="28C972C2" w:rsidRDefault="2714EF2D" w14:paraId="01AF55F9" w14:textId="2ABF75EB">
      <w:pPr>
        <w:ind w:left="0" w:firstLine="720"/>
        <w:rPr>
          <w:color w:val="FF0000"/>
        </w:rPr>
      </w:pPr>
      <w:r w:rsidRPr="28C972C2" w:rsidR="2714EF2D">
        <w:rPr>
          <w:color w:val="FF0000"/>
        </w:rPr>
        <w:t xml:space="preserve">The PCT IG/RI will allow for an AEOB to be sent to anyone that this authorized. </w:t>
      </w:r>
    </w:p>
    <w:p w:rsidR="2714EF2D" w:rsidP="28C972C2" w:rsidRDefault="2714EF2D" w14:paraId="2B7F9D52" w14:textId="03C6D9FA">
      <w:pPr>
        <w:ind w:left="720"/>
        <w:rPr>
          <w:color w:val="FF0000"/>
        </w:rPr>
      </w:pPr>
      <w:r w:rsidRPr="28C972C2" w:rsidR="2714EF2D">
        <w:rPr>
          <w:color w:val="FF0000"/>
        </w:rPr>
        <w:t xml:space="preserve">Note: It is my understanding Da Vinci IGs do not just comply with current reg/laws but instead also try to solve healthcare industry problems that could one day become a reg/law. </w:t>
      </w:r>
    </w:p>
    <w:p w:rsidR="2714EF2D" w:rsidP="28C972C2" w:rsidRDefault="2714EF2D" w14:paraId="1A7D5973" w14:textId="018F4A81">
      <w:pPr>
        <w:ind w:left="720"/>
        <w:rPr>
          <w:color w:val="FF0000"/>
        </w:rPr>
      </w:pPr>
      <w:r w:rsidRPr="28C972C2" w:rsidR="2714EF2D">
        <w:rPr>
          <w:color w:val="FF0000"/>
        </w:rPr>
        <w:t xml:space="preserve">We are happy to make this optional in the IG if Da Vinci and the </w:t>
      </w:r>
      <w:r w:rsidRPr="28C972C2" w:rsidR="0309649D">
        <w:rPr>
          <w:color w:val="FF0000"/>
        </w:rPr>
        <w:t>community</w:t>
      </w:r>
      <w:r w:rsidRPr="28C972C2" w:rsidR="2714EF2D">
        <w:rPr>
          <w:color w:val="FF0000"/>
        </w:rPr>
        <w:t xml:space="preserve"> wants this.</w:t>
      </w:r>
    </w:p>
    <w:p w:rsidR="2714EF2D" w:rsidP="28C972C2" w:rsidRDefault="2714EF2D" w14:paraId="4E694A24" w14:textId="6F3A7DD8">
      <w:pPr>
        <w:ind w:left="720"/>
        <w:rPr>
          <w:b w:val="1"/>
          <w:bCs w:val="1"/>
          <w:color w:val="FF0000"/>
        </w:rPr>
      </w:pPr>
      <w:r w:rsidRPr="28C972C2" w:rsidR="2714EF2D">
        <w:rPr>
          <w:b w:val="1"/>
          <w:bCs w:val="1"/>
          <w:color w:val="FF0000"/>
        </w:rPr>
        <w:t>Vanessa/Viet/Da Vinci should this be optional?</w:t>
      </w:r>
    </w:p>
    <w:p w:rsidR="28C972C2" w:rsidP="28C972C2" w:rsidRDefault="28C972C2" w14:paraId="6F8424C3" w14:textId="2A49A81A">
      <w:pPr>
        <w:pStyle w:val="Normal"/>
        <w:ind w:left="360"/>
        <w:rPr>
          <w:b w:val="1"/>
          <w:bCs w:val="1"/>
          <w:color w:val="FF0000"/>
        </w:rPr>
      </w:pPr>
    </w:p>
    <w:p w:rsidR="1DD29868" w:rsidP="1DD29868" w:rsidRDefault="1DD29868" w14:paraId="434A1C75" w14:textId="7737D7D2">
      <w:pPr>
        <w:ind w:left="360"/>
        <w:rPr>
          <w:b/>
          <w:bCs/>
          <w:color w:val="FF0000"/>
        </w:rPr>
      </w:pPr>
    </w:p>
    <w:p w:rsidRPr="00A0616A" w:rsidR="006C0526" w:rsidP="00A0616A" w:rsidRDefault="00CE67C9" w14:paraId="07FFB8D4" w14:textId="64BAE729">
      <w:pPr>
        <w:ind w:left="360"/>
        <w:rPr>
          <w:b w:val="1"/>
          <w:bCs w:val="1"/>
        </w:rPr>
      </w:pPr>
      <w:r w:rsidRPr="28C972C2" w:rsidR="00CE67C9">
        <w:rPr>
          <w:b w:val="1"/>
          <w:bCs w:val="1"/>
        </w:rPr>
        <w:t>We recommend that Advanced EOB Request foll</w:t>
      </w:r>
      <w:r w:rsidRPr="28C972C2" w:rsidR="006C0526">
        <w:rPr>
          <w:b w:val="1"/>
          <w:bCs w:val="1"/>
        </w:rPr>
        <w:t xml:space="preserve">ow claims submission standards. </w:t>
      </w:r>
      <w:r w:rsidRPr="28C972C2" w:rsidR="00CE67C9">
        <w:rPr>
          <w:b w:val="1"/>
          <w:bCs w:val="1"/>
        </w:rPr>
        <w:t xml:space="preserve">This will make it easier for providers and payers to understand the data. </w:t>
      </w:r>
      <w:r w:rsidRPr="28C972C2" w:rsidR="006C0526">
        <w:rPr>
          <w:b w:val="1"/>
          <w:bCs w:val="1"/>
        </w:rPr>
        <w:t>The standards call for separate formats for Institutional and Professional / Non-Clinician. In alignment with the standards, define an Institutional GFE</w:t>
      </w:r>
      <w:r w:rsidRPr="28C972C2" w:rsidR="00CE67C9">
        <w:rPr>
          <w:b w:val="1"/>
          <w:bCs w:val="1"/>
        </w:rPr>
        <w:t xml:space="preserve"> (Advanced EOB Request)</w:t>
      </w:r>
      <w:r w:rsidRPr="28C972C2" w:rsidR="006C0526">
        <w:rPr>
          <w:b w:val="1"/>
          <w:bCs w:val="1"/>
        </w:rPr>
        <w:t xml:space="preserve"> profile and a Professional / Non-Clinician profile.  (To accommodate Value Set differences, CARIN defined separate profiles for Inpatient Institutional and Outpatient Institutional – </w:t>
      </w:r>
      <w:r w:rsidRPr="28C972C2" w:rsidR="00B56888">
        <w:rPr>
          <w:b w:val="1"/>
          <w:bCs w:val="1"/>
        </w:rPr>
        <w:t>P</w:t>
      </w:r>
      <w:r w:rsidRPr="28C972C2" w:rsidR="00CE67C9">
        <w:rPr>
          <w:b w:val="1"/>
          <w:bCs w:val="1"/>
        </w:rPr>
        <w:t xml:space="preserve">erhaps PCT </w:t>
      </w:r>
      <w:r w:rsidRPr="28C972C2" w:rsidR="006C0526">
        <w:rPr>
          <w:b w:val="1"/>
          <w:bCs w:val="1"/>
        </w:rPr>
        <w:t>c</w:t>
      </w:r>
      <w:r w:rsidRPr="28C972C2" w:rsidR="00C03378">
        <w:rPr>
          <w:b w:val="1"/>
          <w:bCs w:val="1"/>
        </w:rPr>
        <w:t xml:space="preserve">ould define </w:t>
      </w:r>
      <w:r w:rsidRPr="28C972C2" w:rsidR="006C0526">
        <w:rPr>
          <w:b w:val="1"/>
          <w:bCs w:val="1"/>
        </w:rPr>
        <w:t xml:space="preserve">one </w:t>
      </w:r>
      <w:r w:rsidRPr="28C972C2" w:rsidR="00C03378">
        <w:rPr>
          <w:b w:val="1"/>
          <w:bCs w:val="1"/>
        </w:rPr>
        <w:t xml:space="preserve">Institutional </w:t>
      </w:r>
      <w:r w:rsidRPr="28C972C2" w:rsidR="00B56888">
        <w:rPr>
          <w:b w:val="1"/>
          <w:bCs w:val="1"/>
        </w:rPr>
        <w:t xml:space="preserve">profile </w:t>
      </w:r>
      <w:r w:rsidRPr="28C972C2" w:rsidR="00C03378">
        <w:rPr>
          <w:b w:val="1"/>
          <w:bCs w:val="1"/>
        </w:rPr>
        <w:t xml:space="preserve">for both and define invariants to accommodate the varying Value Sets).  </w:t>
      </w:r>
    </w:p>
    <w:p w:rsidR="5A49E469" w:rsidP="28C972C2" w:rsidRDefault="5A49E469" w14:paraId="1B9191D1">
      <w:pPr>
        <w:pStyle w:val="ListParagraph"/>
        <w:ind w:left="360"/>
        <w:rPr>
          <w:color w:val="FF0000"/>
        </w:rPr>
      </w:pPr>
      <w:r w:rsidRPr="28C972C2" w:rsidR="5A49E469">
        <w:rPr>
          <w:color w:val="FF0000"/>
        </w:rPr>
        <w:t>We want to avoid creating multiple profiles for Institutional and Professional and others if we can use coding and value sets to differentiate the various profile usages.</w:t>
      </w:r>
    </w:p>
    <w:p w:rsidR="28C972C2" w:rsidP="28C972C2" w:rsidRDefault="28C972C2" w14:paraId="00FA2FA5" w14:textId="255E1884">
      <w:pPr>
        <w:pStyle w:val="Normal"/>
        <w:ind w:left="360"/>
        <w:rPr>
          <w:b w:val="1"/>
          <w:bCs w:val="1"/>
        </w:rPr>
      </w:pPr>
    </w:p>
    <w:p w:rsidR="1DD29868" w:rsidP="1DD29868" w:rsidRDefault="1DD29868" w14:paraId="63667323" w14:textId="12925AD6">
      <w:pPr>
        <w:ind w:left="360"/>
        <w:rPr>
          <w:b/>
          <w:bCs/>
        </w:rPr>
      </w:pPr>
    </w:p>
    <w:p w:rsidR="1DD29868" w:rsidP="1DD29868" w:rsidRDefault="1DD29868" w14:paraId="3F4B7081" w14:textId="2F70833D">
      <w:pPr>
        <w:ind w:left="360"/>
        <w:rPr>
          <w:b/>
          <w:bCs/>
        </w:rPr>
      </w:pPr>
    </w:p>
    <w:p w:rsidR="1DD29868" w:rsidP="1DD29868" w:rsidRDefault="1DD29868" w14:paraId="77A78372" w14:textId="419D8D7F">
      <w:pPr>
        <w:ind w:left="360"/>
        <w:rPr>
          <w:b/>
          <w:bCs/>
        </w:rPr>
      </w:pPr>
    </w:p>
    <w:p w:rsidR="1DD29868" w:rsidP="1DD29868" w:rsidRDefault="1DD29868" w14:paraId="5B8B39EA" w14:textId="4ED18D9D">
      <w:pPr>
        <w:ind w:left="360"/>
        <w:rPr>
          <w:b w:val="1"/>
          <w:bCs w:val="1"/>
        </w:rPr>
      </w:pPr>
    </w:p>
    <w:p w:rsidR="28C972C2" w:rsidP="28C972C2" w:rsidRDefault="28C972C2" w14:paraId="6519E707" w14:textId="14D935D9">
      <w:pPr>
        <w:pStyle w:val="Normal"/>
        <w:ind w:left="360"/>
        <w:rPr>
          <w:b w:val="1"/>
          <w:bCs w:val="1"/>
        </w:rPr>
      </w:pPr>
    </w:p>
    <w:p w:rsidR="1DD29868" w:rsidP="1DD29868" w:rsidRDefault="1DD29868" w14:paraId="64F21F32" w14:textId="26C47C23">
      <w:pPr>
        <w:ind w:left="360"/>
        <w:rPr>
          <w:b/>
          <w:bCs/>
        </w:rPr>
      </w:pPr>
    </w:p>
    <w:p w:rsidR="1DD29868" w:rsidP="1DD29868" w:rsidRDefault="1DD29868" w14:paraId="1F737C18" w14:textId="2689BD7C">
      <w:pPr>
        <w:ind w:left="360"/>
        <w:rPr>
          <w:b/>
          <w:bCs/>
        </w:rPr>
      </w:pPr>
    </w:p>
    <w:p w:rsidR="1DD29868" w:rsidP="1DD29868" w:rsidRDefault="1DD29868" w14:paraId="165E6693" w14:textId="4945E67A">
      <w:pPr>
        <w:ind w:left="360"/>
        <w:rPr>
          <w:b/>
          <w:bCs/>
        </w:rPr>
      </w:pPr>
    </w:p>
    <w:p w:rsidR="1DD29868" w:rsidP="1DD29868" w:rsidRDefault="1DD29868" w14:paraId="54000952" w14:textId="7F335784">
      <w:pPr>
        <w:ind w:left="360"/>
        <w:rPr>
          <w:b/>
          <w:bCs/>
        </w:rPr>
      </w:pPr>
    </w:p>
    <w:p w:rsidR="1DD29868" w:rsidP="1DD29868" w:rsidRDefault="1DD29868" w14:paraId="23A96E37" w14:textId="219331AA">
      <w:pPr>
        <w:ind w:left="360"/>
        <w:rPr>
          <w:b/>
          <w:bCs/>
        </w:rPr>
      </w:pPr>
    </w:p>
    <w:p w:rsidR="1DD29868" w:rsidP="1DD29868" w:rsidRDefault="1DD29868" w14:paraId="1924A23E" w14:textId="6D36E89F">
      <w:pPr>
        <w:ind w:left="360"/>
        <w:rPr>
          <w:b/>
          <w:bCs/>
        </w:rPr>
      </w:pPr>
    </w:p>
    <w:p w:rsidR="1DD29868" w:rsidP="1DD29868" w:rsidRDefault="1DD29868" w14:paraId="4977F7C3" w14:textId="6DC29961">
      <w:pPr>
        <w:ind w:left="360"/>
        <w:rPr>
          <w:b/>
          <w:bCs/>
        </w:rPr>
      </w:pPr>
    </w:p>
    <w:p w:rsidR="00FE1C3A" w:rsidP="006407CD" w:rsidRDefault="00FD0F0F" w14:paraId="167C5320" w14:textId="6C9EA3F4">
      <w:pPr>
        <w:pStyle w:val="ListParagraph"/>
        <w:numPr>
          <w:ilvl w:val="0"/>
          <w:numId w:val="1"/>
        </w:numPr>
      </w:pPr>
      <w:r>
        <w:t>Section 1.1 – Overview:</w:t>
      </w:r>
    </w:p>
    <w:p w:rsidR="00FE1C3A" w:rsidP="00FE1C3A" w:rsidRDefault="00FE1C3A" w14:paraId="3A8DBDB4" w14:textId="77777777">
      <w:pPr>
        <w:pStyle w:val="ListParagraph"/>
      </w:pPr>
    </w:p>
    <w:p w:rsidR="00FD0F0F" w:rsidP="1DD29868" w:rsidRDefault="00FD0F0F" w14:paraId="3E16CC84" w14:textId="7BA34B3F">
      <w:pPr>
        <w:pStyle w:val="ListParagraph"/>
        <w:numPr>
          <w:ilvl w:val="1"/>
          <w:numId w:val="1"/>
        </w:numPr>
      </w:pPr>
      <w:r>
        <w:t xml:space="preserve">Reference that the IG is written to support compliance with the No Surprises Act.  Reference similar language in </w:t>
      </w:r>
      <w:hyperlink w:anchor="cms-patient-access-and-interoperability-rules" r:id="rId10">
        <w:r w:rsidRPr="1DD29868">
          <w:rPr>
            <w:rStyle w:val="Hyperlink"/>
          </w:rPr>
          <w:t>Background CMS Patient Access and Interoperability Rules</w:t>
        </w:r>
      </w:hyperlink>
      <w:r w:rsidR="00A0616A">
        <w:t>.  It’s referenced in Terms and Concepts but needs more prominence as it’s the</w:t>
      </w:r>
      <w:r w:rsidR="00286BC3">
        <w:t xml:space="preserve"> </w:t>
      </w:r>
      <w:r w:rsidR="00A0616A">
        <w:t xml:space="preserve">reason the IG is being defined.     </w:t>
      </w:r>
    </w:p>
    <w:p w:rsidR="1DD29868" w:rsidP="28C972C2" w:rsidRDefault="15F05BA8" w14:paraId="17AE24E5" w14:textId="53A2B26F">
      <w:pPr>
        <w:ind w:left="1440"/>
        <w:rPr>
          <w:color w:val="FF0000"/>
        </w:rPr>
      </w:pPr>
      <w:r w:rsidRPr="28C972C2" w:rsidR="15F05BA8">
        <w:rPr>
          <w:color w:val="FF0000"/>
        </w:rPr>
        <w:t>Vanessa/Viet/Da Vinci</w:t>
      </w:r>
      <w:r w:rsidRPr="28C972C2" w:rsidR="65CE1B5D">
        <w:rPr>
          <w:color w:val="FF0000"/>
        </w:rPr>
        <w:t>,</w:t>
      </w:r>
      <w:r w:rsidRPr="28C972C2" w:rsidR="15F05BA8">
        <w:rPr>
          <w:color w:val="FF0000"/>
        </w:rPr>
        <w:t xml:space="preserve"> is this IG being balloted to </w:t>
      </w:r>
      <w:r w:rsidRPr="28C972C2" w:rsidR="7651A14C">
        <w:rPr>
          <w:color w:val="FF0000"/>
        </w:rPr>
        <w:t xml:space="preserve">support </w:t>
      </w:r>
      <w:r w:rsidRPr="28C972C2" w:rsidR="066CF943">
        <w:rPr>
          <w:color w:val="FF0000"/>
        </w:rPr>
        <w:t xml:space="preserve">the </w:t>
      </w:r>
      <w:r w:rsidRPr="28C972C2" w:rsidR="15F05BA8">
        <w:rPr>
          <w:color w:val="FF0000"/>
        </w:rPr>
        <w:t xml:space="preserve">No Surprises Act? </w:t>
      </w:r>
    </w:p>
    <w:p w:rsidR="1DD29868" w:rsidP="28C972C2" w:rsidRDefault="15F05BA8" w14:paraId="0DDA02B3" w14:textId="73744639">
      <w:pPr>
        <w:ind w:left="1440"/>
        <w:rPr>
          <w:color w:val="FF0000"/>
        </w:rPr>
      </w:pPr>
      <w:r w:rsidRPr="28C972C2" w:rsidR="15F05BA8">
        <w:rPr>
          <w:color w:val="FF0000"/>
        </w:rPr>
        <w:t xml:space="preserve">If </w:t>
      </w:r>
      <w:r w:rsidRPr="28C972C2" w:rsidR="5A77A51B">
        <w:rPr>
          <w:color w:val="FF0000"/>
        </w:rPr>
        <w:t xml:space="preserve">yes, </w:t>
      </w:r>
      <w:r w:rsidRPr="28C972C2" w:rsidR="5A77A51B">
        <w:rPr>
          <w:color w:val="FF0000"/>
        </w:rPr>
        <w:t>could you</w:t>
      </w:r>
      <w:r w:rsidRPr="28C972C2" w:rsidR="294346F7">
        <w:rPr>
          <w:color w:val="FF0000"/>
        </w:rPr>
        <w:t xml:space="preserve"> </w:t>
      </w:r>
      <w:r w:rsidRPr="28C972C2" w:rsidR="5A77A51B">
        <w:rPr>
          <w:color w:val="FF0000"/>
        </w:rPr>
        <w:t>please</w:t>
      </w:r>
      <w:r w:rsidRPr="28C972C2" w:rsidR="1C7E09E5">
        <w:rPr>
          <w:color w:val="FF0000"/>
        </w:rPr>
        <w:t xml:space="preserve"> the</w:t>
      </w:r>
      <w:r w:rsidRPr="28C972C2" w:rsidR="3713E217">
        <w:rPr>
          <w:color w:val="FF0000"/>
        </w:rPr>
        <w:t xml:space="preserve"> provide language/text for this?</w:t>
      </w:r>
      <w:r w:rsidRPr="28C972C2" w:rsidR="1C7E09E5">
        <w:rPr>
          <w:color w:val="FF0000"/>
        </w:rPr>
        <w:t xml:space="preserve"> </w:t>
      </w:r>
      <w:r w:rsidRPr="28C972C2" w:rsidR="5A77A51B">
        <w:rPr>
          <w:color w:val="FF0000"/>
        </w:rPr>
        <w:t xml:space="preserve"> </w:t>
      </w:r>
    </w:p>
    <w:p w:rsidR="1DD29868" w:rsidP="1DD29868" w:rsidRDefault="1DD29868" w14:paraId="2087B4CA" w14:textId="02979E3E">
      <w:pPr>
        <w:ind w:left="720"/>
      </w:pPr>
    </w:p>
    <w:p w:rsidRPr="00A21648" w:rsidR="00A21648" w:rsidP="1DD29868" w:rsidRDefault="00FE1C3A" w14:paraId="37E1E205" w14:textId="67747437">
      <w:pPr>
        <w:pStyle w:val="ListParagraph"/>
        <w:numPr>
          <w:ilvl w:val="1"/>
          <w:numId w:val="1"/>
        </w:numPr>
        <w:rPr>
          <w:rStyle w:val="Emphasis"/>
          <w:i w:val="0"/>
          <w:iCs w:val="0"/>
        </w:rPr>
      </w:pPr>
      <w:r>
        <w:t>The statement, ‘</w:t>
      </w:r>
      <w:r>
        <w:rPr>
          <w:rStyle w:val="Emphasis"/>
          <w:rFonts w:ascii="Verdana" w:hAnsi="Verdana"/>
          <w:color w:val="333333"/>
          <w:sz w:val="18"/>
          <w:szCs w:val="18"/>
          <w:shd w:val="clear" w:color="auto" w:fill="FFFFFF"/>
        </w:rPr>
        <w:t>The composition of the collection of GFEs is cur</w:t>
      </w:r>
      <w:r w:rsidR="0085335E">
        <w:rPr>
          <w:rStyle w:val="Emphasis"/>
          <w:rFonts w:ascii="Verdana" w:hAnsi="Verdana"/>
          <w:color w:val="333333"/>
          <w:sz w:val="18"/>
          <w:szCs w:val="18"/>
          <w:shd w:val="clear" w:color="auto" w:fill="FFFFFF"/>
        </w:rPr>
        <w:t>rently not in scope for this IG</w:t>
      </w:r>
      <w:r>
        <w:rPr>
          <w:rStyle w:val="Emphasis"/>
          <w:rFonts w:ascii="Verdana" w:hAnsi="Verdana"/>
          <w:color w:val="333333"/>
          <w:sz w:val="18"/>
          <w:szCs w:val="18"/>
          <w:shd w:val="clear" w:color="auto" w:fill="FFFFFF"/>
        </w:rPr>
        <w:t xml:space="preserve">’, </w:t>
      </w:r>
      <w:r w:rsidRPr="1DD29868">
        <w:rPr>
          <w:rStyle w:val="Emphasis"/>
          <w:rFonts w:ascii="Verdana" w:hAnsi="Verdana"/>
          <w:i w:val="0"/>
          <w:iCs w:val="0"/>
          <w:color w:val="333333"/>
          <w:sz w:val="18"/>
          <w:szCs w:val="18"/>
          <w:shd w:val="clear" w:color="auto" w:fill="FFFFFF"/>
        </w:rPr>
        <w:t xml:space="preserve">is unclear.  Does this mean the definition of the GFE is not in scope or </w:t>
      </w:r>
      <w:proofErr w:type="gramStart"/>
      <w:r w:rsidRPr="1DD29868" w:rsidR="00A21648">
        <w:rPr>
          <w:rStyle w:val="Emphasis"/>
          <w:rFonts w:ascii="Verdana" w:hAnsi="Verdana"/>
          <w:i w:val="0"/>
          <w:iCs w:val="0"/>
          <w:color w:val="333333"/>
          <w:sz w:val="18"/>
          <w:szCs w:val="18"/>
          <w:shd w:val="clear" w:color="auto" w:fill="FFFFFF"/>
        </w:rPr>
        <w:t>the means by which</w:t>
      </w:r>
      <w:proofErr w:type="gramEnd"/>
      <w:r w:rsidRPr="1DD29868" w:rsidR="00A21648">
        <w:rPr>
          <w:rStyle w:val="Emphasis"/>
          <w:rFonts w:ascii="Verdana" w:hAnsi="Verdana"/>
          <w:i w:val="0"/>
          <w:iCs w:val="0"/>
          <w:color w:val="333333"/>
          <w:sz w:val="18"/>
          <w:szCs w:val="18"/>
          <w:shd w:val="clear" w:color="auto" w:fill="FFFFFF"/>
        </w:rPr>
        <w:t xml:space="preserve"> the scheduling provider coordinates with other providers is not in scope?  </w:t>
      </w:r>
    </w:p>
    <w:p w:rsidR="00FE1C3A" w:rsidP="00A21648" w:rsidRDefault="00A21648" w14:paraId="3A5090D0" w14:textId="654579C1">
      <w:pPr>
        <w:pStyle w:val="ListParagraph"/>
        <w:numPr>
          <w:ilvl w:val="2"/>
          <w:numId w:val="1"/>
        </w:numPr>
      </w:pPr>
      <w:r w:rsidRPr="1DD29868">
        <w:rPr>
          <w:rStyle w:val="Emphasis"/>
          <w:rFonts w:ascii="Verdana" w:hAnsi="Verdana"/>
          <w:i w:val="0"/>
          <w:iCs w:val="0"/>
          <w:color w:val="333333"/>
          <w:sz w:val="18"/>
          <w:szCs w:val="18"/>
          <w:shd w:val="clear" w:color="auto" w:fill="FFFFFF"/>
        </w:rPr>
        <w:t>Although the workgroup has called out that the coordination of the scheduling provider with other providers is not in scope, for provider to payer continuity and a</w:t>
      </w:r>
      <w:r w:rsidRPr="1DD29868" w:rsidR="00964188">
        <w:rPr>
          <w:rStyle w:val="Emphasis"/>
          <w:rFonts w:ascii="Verdana" w:hAnsi="Verdana"/>
          <w:i w:val="0"/>
          <w:iCs w:val="0"/>
          <w:color w:val="333333"/>
          <w:sz w:val="18"/>
          <w:szCs w:val="18"/>
          <w:shd w:val="clear" w:color="auto" w:fill="FFFFFF"/>
        </w:rPr>
        <w:t xml:space="preserve"> unified end to end solution, we recommended it be included in scope. </w:t>
      </w:r>
      <w:r w:rsidRPr="1DD29868" w:rsidR="00FE1C3A">
        <w:rPr>
          <w:rStyle w:val="Emphasis"/>
          <w:rFonts w:ascii="Verdana" w:hAnsi="Verdana"/>
          <w:i w:val="0"/>
          <w:iCs w:val="0"/>
          <w:color w:val="333333"/>
          <w:sz w:val="18"/>
          <w:szCs w:val="18"/>
          <w:shd w:val="clear" w:color="auto" w:fill="FFFFFF"/>
        </w:rPr>
        <w:t xml:space="preserve"> </w:t>
      </w:r>
    </w:p>
    <w:p w:rsidR="56524050" w:rsidP="1DD29868" w:rsidRDefault="56524050" w14:paraId="7D95ECD6" w14:textId="0DDB4A58">
      <w:pPr>
        <w:pStyle w:val="NoSpacing"/>
        <w:ind w:left="1440"/>
        <w:rPr>
          <w:rStyle w:val="Emphasis"/>
          <w:rFonts w:ascii="Verdana" w:hAnsi="Verdana"/>
          <w:i w:val="0"/>
          <w:iCs w:val="0"/>
          <w:color w:val="FF0000"/>
          <w:sz w:val="18"/>
          <w:szCs w:val="18"/>
        </w:rPr>
      </w:pPr>
      <w:r w:rsidRPr="1DD29868">
        <w:rPr>
          <w:color w:val="FF0000"/>
        </w:rPr>
        <w:t>It mean</w:t>
      </w:r>
      <w:r w:rsidRPr="1DD29868" w:rsidR="7C653035">
        <w:rPr>
          <w:color w:val="FF0000"/>
        </w:rPr>
        <w:t>s</w:t>
      </w:r>
      <w:r w:rsidRPr="1DD29868">
        <w:rPr>
          <w:color w:val="FF0000"/>
        </w:rPr>
        <w:t xml:space="preserve"> “</w:t>
      </w:r>
      <w:proofErr w:type="gramStart"/>
      <w:r w:rsidRPr="1DD29868">
        <w:rPr>
          <w:color w:val="FF0000"/>
        </w:rPr>
        <w:t>the means by which</w:t>
      </w:r>
      <w:proofErr w:type="gramEnd"/>
      <w:r w:rsidRPr="1DD29868">
        <w:rPr>
          <w:color w:val="FF0000"/>
        </w:rPr>
        <w:t xml:space="preserve"> the scheduling provider coordinates with other </w:t>
      </w:r>
    </w:p>
    <w:p w:rsidR="56524050" w:rsidP="1DD29868" w:rsidRDefault="56524050" w14:paraId="4D5D3E39" w14:textId="753AEEE1">
      <w:pPr>
        <w:pStyle w:val="NoSpacing"/>
        <w:ind w:left="1440"/>
        <w:rPr>
          <w:color w:val="FF0000"/>
        </w:rPr>
      </w:pPr>
      <w:r w:rsidRPr="28C972C2" w:rsidR="56524050">
        <w:rPr>
          <w:color w:val="FF0000"/>
        </w:rPr>
        <w:t xml:space="preserve">providers </w:t>
      </w:r>
      <w:r w:rsidRPr="28C972C2" w:rsidR="56524050">
        <w:rPr>
          <w:color w:val="FF0000"/>
        </w:rPr>
        <w:t>is</w:t>
      </w:r>
      <w:r w:rsidRPr="28C972C2" w:rsidR="56524050">
        <w:rPr>
          <w:color w:val="FF0000"/>
        </w:rPr>
        <w:t xml:space="preserve"> not in scope? I think we can work on making this </w:t>
      </w:r>
      <w:r w:rsidRPr="28C972C2" w:rsidR="56524050">
        <w:rPr>
          <w:color w:val="FF0000"/>
        </w:rPr>
        <w:t>more clear</w:t>
      </w:r>
      <w:r w:rsidRPr="28C972C2" w:rsidR="56524050">
        <w:rPr>
          <w:color w:val="FF0000"/>
        </w:rPr>
        <w:t>.</w:t>
      </w:r>
      <w:r w:rsidRPr="28C972C2" w:rsidR="02479478">
        <w:rPr>
          <w:color w:val="FF0000"/>
        </w:rPr>
        <w:t xml:space="preserve"> </w:t>
      </w:r>
    </w:p>
    <w:p w:rsidR="1DD29868" w:rsidP="1DD29868" w:rsidRDefault="1DD29868" w14:paraId="310A731F" w14:textId="7E5DA4EE">
      <w:pPr>
        <w:pStyle w:val="NoSpacing"/>
        <w:ind w:left="1440"/>
        <w:rPr>
          <w:color w:val="FF0000"/>
        </w:rPr>
      </w:pPr>
    </w:p>
    <w:p w:rsidR="0201C1EF" w:rsidP="1DD29868" w:rsidRDefault="0201C1EF" w14:paraId="245837EE" w14:textId="1D1EAAD9">
      <w:pPr>
        <w:pStyle w:val="NoSpacing"/>
        <w:ind w:left="1440"/>
        <w:rPr>
          <w:color w:val="FF0000"/>
        </w:rPr>
      </w:pPr>
      <w:r w:rsidRPr="1DD29868">
        <w:rPr>
          <w:color w:val="FF0000"/>
        </w:rPr>
        <w:t xml:space="preserve">Also, </w:t>
      </w:r>
      <w:r w:rsidRPr="1DD29868" w:rsidR="6E136D5A">
        <w:rPr>
          <w:color w:val="FF0000"/>
        </w:rPr>
        <w:t>I suspect</w:t>
      </w:r>
      <w:r w:rsidRPr="1DD29868" w:rsidR="6F5230E4">
        <w:rPr>
          <w:color w:val="FF0000"/>
        </w:rPr>
        <w:t xml:space="preserve"> the “</w:t>
      </w:r>
      <w:r w:rsidRPr="1DD29868" w:rsidR="6F5230E4">
        <w:rPr>
          <w:rStyle w:val="Emphasis"/>
          <w:rFonts w:ascii="Verdana" w:hAnsi="Verdana"/>
          <w:color w:val="FF0000"/>
          <w:sz w:val="18"/>
          <w:szCs w:val="18"/>
        </w:rPr>
        <w:t>composition of the collection of GFEs</w:t>
      </w:r>
      <w:r w:rsidRPr="1DD29868" w:rsidR="6F5230E4">
        <w:rPr>
          <w:color w:val="FF0000"/>
        </w:rPr>
        <w:t>”</w:t>
      </w:r>
      <w:r w:rsidRPr="1DD29868" w:rsidR="6E136D5A">
        <w:rPr>
          <w:color w:val="FF0000"/>
        </w:rPr>
        <w:t xml:space="preserve"> might be</w:t>
      </w:r>
      <w:r w:rsidRPr="1DD29868" w:rsidR="1D289752">
        <w:rPr>
          <w:color w:val="FF0000"/>
        </w:rPr>
        <w:t xml:space="preserve"> in scope</w:t>
      </w:r>
      <w:r w:rsidRPr="1DD29868" w:rsidR="6E136D5A">
        <w:rPr>
          <w:color w:val="FF0000"/>
        </w:rPr>
        <w:t xml:space="preserve"> at another time using another work stream</w:t>
      </w:r>
      <w:r w:rsidRPr="1DD29868" w:rsidR="05F7F53F">
        <w:rPr>
          <w:color w:val="FF0000"/>
        </w:rPr>
        <w:t>/IG</w:t>
      </w:r>
      <w:r w:rsidRPr="1DD29868" w:rsidR="6E136D5A">
        <w:rPr>
          <w:color w:val="FF0000"/>
        </w:rPr>
        <w:t>. I will</w:t>
      </w:r>
      <w:r w:rsidRPr="1DD29868" w:rsidR="0BDA5981">
        <w:rPr>
          <w:color w:val="FF0000"/>
        </w:rPr>
        <w:t xml:space="preserve"> </w:t>
      </w:r>
      <w:r w:rsidRPr="1DD29868" w:rsidR="6E136D5A">
        <w:rPr>
          <w:color w:val="FF0000"/>
        </w:rPr>
        <w:t>defer</w:t>
      </w:r>
      <w:r w:rsidRPr="1DD29868" w:rsidR="2C87E6E8">
        <w:rPr>
          <w:color w:val="FF0000"/>
        </w:rPr>
        <w:t xml:space="preserve"> </w:t>
      </w:r>
      <w:r w:rsidRPr="1DD29868" w:rsidR="6E136D5A">
        <w:rPr>
          <w:color w:val="FF0000"/>
        </w:rPr>
        <w:t>to Da Vinci here.</w:t>
      </w:r>
    </w:p>
    <w:p w:rsidR="1DD29868" w:rsidP="1DD29868" w:rsidRDefault="1DD29868" w14:paraId="12940DBB" w14:textId="172124CB">
      <w:pPr>
        <w:ind w:left="1440"/>
        <w:rPr>
          <w:rStyle w:val="Emphasis"/>
          <w:rFonts w:ascii="Verdana" w:hAnsi="Verdana"/>
          <w:i w:val="0"/>
          <w:iCs w:val="0"/>
          <w:color w:val="333333"/>
          <w:sz w:val="18"/>
          <w:szCs w:val="18"/>
        </w:rPr>
      </w:pPr>
    </w:p>
    <w:p w:rsidR="005A74D2" w:rsidP="00FE1C3A" w:rsidRDefault="005A74D2" w14:paraId="691BE958" w14:textId="013F65EF">
      <w:pPr>
        <w:pStyle w:val="ListParagraph"/>
        <w:numPr>
          <w:ilvl w:val="1"/>
          <w:numId w:val="1"/>
        </w:numPr>
      </w:pPr>
      <w:r>
        <w:t>Suggest using the term, ‘Request AEOB using GFEs’ instead of ‘Get’ to align with other flows in the IG.</w:t>
      </w:r>
    </w:p>
    <w:p w:rsidR="1DD29868" w:rsidP="28C972C2" w:rsidRDefault="0EBB54E6" w14:paraId="6718E4AE" w14:textId="537BE0D2">
      <w:pPr>
        <w:ind w:left="1440"/>
        <w:rPr>
          <w:color w:val="FF0000"/>
        </w:rPr>
      </w:pPr>
      <w:r w:rsidRPr="28C972C2" w:rsidR="0EBB54E6">
        <w:rPr>
          <w:color w:val="FF0000"/>
        </w:rPr>
        <w:t xml:space="preserve">OK, </w:t>
      </w:r>
      <w:r w:rsidRPr="28C972C2" w:rsidR="0EBB54E6">
        <w:rPr>
          <w:color w:val="FF0000"/>
        </w:rPr>
        <w:t>yes</w:t>
      </w:r>
      <w:r w:rsidRPr="28C972C2" w:rsidR="0BD7540F">
        <w:rPr>
          <w:color w:val="FF0000"/>
        </w:rPr>
        <w:t xml:space="preserve"> </w:t>
      </w:r>
      <w:r w:rsidRPr="28C972C2" w:rsidR="61543487">
        <w:rPr>
          <w:color w:val="FF0000"/>
        </w:rPr>
        <w:t xml:space="preserve">this </w:t>
      </w:r>
      <w:r w:rsidRPr="28C972C2" w:rsidR="0BD7540F">
        <w:rPr>
          <w:color w:val="FF0000"/>
        </w:rPr>
        <w:t>one had already</w:t>
      </w:r>
      <w:r w:rsidRPr="28C972C2" w:rsidR="0EBB54E6">
        <w:rPr>
          <w:color w:val="FF0000"/>
        </w:rPr>
        <w:t xml:space="preserve"> been change</w:t>
      </w:r>
      <w:r w:rsidRPr="28C972C2" w:rsidR="4909BDBC">
        <w:rPr>
          <w:color w:val="FF0000"/>
        </w:rPr>
        <w:t>d</w:t>
      </w:r>
      <w:r w:rsidRPr="28C972C2" w:rsidR="0EBB54E6">
        <w:rPr>
          <w:color w:val="FF0000"/>
        </w:rPr>
        <w:t xml:space="preserve"> to reflect the </w:t>
      </w:r>
      <w:r w:rsidRPr="28C972C2" w:rsidR="12E8B771">
        <w:rPr>
          <w:color w:val="FF0000"/>
        </w:rPr>
        <w:t>flow of the IG.</w:t>
      </w:r>
      <w:r w:rsidRPr="28C972C2" w:rsidR="5FAB7849">
        <w:rPr>
          <w:color w:val="FF0000"/>
        </w:rPr>
        <w:t xml:space="preserve"> We will </w:t>
      </w:r>
      <w:r w:rsidRPr="28C972C2" w:rsidR="5FAB7849">
        <w:rPr>
          <w:color w:val="FF0000"/>
        </w:rPr>
        <w:t xml:space="preserve">review it again. </w:t>
      </w:r>
    </w:p>
    <w:p w:rsidR="005A74D2" w:rsidP="00FE1C3A" w:rsidRDefault="005A74D2" w14:paraId="783627CF" w14:textId="24487AD9">
      <w:pPr>
        <w:pStyle w:val="ListParagraph"/>
        <w:numPr>
          <w:ilvl w:val="1"/>
          <w:numId w:val="1"/>
        </w:numPr>
      </w:pPr>
      <w:r>
        <w:t>Suggested the outline of the FHIR-X12 Translator be dashed to convey it is optional</w:t>
      </w:r>
    </w:p>
    <w:p w:rsidR="1DD29868" w:rsidP="28C972C2" w:rsidRDefault="75DEA62D" w14:paraId="64112C54" w14:textId="0306D06A">
      <w:pPr>
        <w:ind w:left="720" w:firstLine="720"/>
        <w:rPr>
          <w:color w:val="FF0000"/>
        </w:rPr>
      </w:pPr>
      <w:r w:rsidRPr="28C972C2" w:rsidR="75DEA62D">
        <w:rPr>
          <w:color w:val="FF0000"/>
        </w:rPr>
        <w:t>OK, thanks will do!</w:t>
      </w:r>
      <w:r w:rsidRPr="28C972C2" w:rsidR="6C9BFB47">
        <w:rPr>
          <w:color w:val="FF0000"/>
        </w:rPr>
        <w:t xml:space="preserve"> This graphic will be re-worked. </w:t>
      </w:r>
    </w:p>
    <w:p w:rsidR="1DD29868" w:rsidP="1DD29868" w:rsidRDefault="1DD29868" w14:paraId="76C321F0" w14:textId="44F474AF">
      <w:pPr>
        <w:ind w:left="720"/>
        <w:rPr>
          <w:color w:val="FF0000"/>
        </w:rPr>
      </w:pPr>
    </w:p>
    <w:p w:rsidR="1DD29868" w:rsidP="1DD29868" w:rsidRDefault="1DD29868" w14:paraId="7463EB68" w14:textId="094B427B">
      <w:pPr>
        <w:ind w:left="720"/>
        <w:rPr>
          <w:color w:val="FF0000"/>
        </w:rPr>
      </w:pPr>
    </w:p>
    <w:p w:rsidR="1DD29868" w:rsidP="1DD29868" w:rsidRDefault="1DD29868" w14:paraId="7EF0320D" w14:textId="4F6CAD73">
      <w:pPr>
        <w:ind w:left="720"/>
        <w:rPr>
          <w:color w:val="FF0000"/>
        </w:rPr>
      </w:pPr>
    </w:p>
    <w:p w:rsidR="1DD29868" w:rsidP="1DD29868" w:rsidRDefault="1DD29868" w14:paraId="257D0D24" w14:textId="74DEE882">
      <w:pPr>
        <w:ind w:left="720"/>
        <w:rPr>
          <w:color w:val="FF0000"/>
        </w:rPr>
      </w:pPr>
    </w:p>
    <w:p w:rsidR="1DD29868" w:rsidP="1DD29868" w:rsidRDefault="1DD29868" w14:paraId="0D6E60A5" w14:textId="72085629">
      <w:pPr>
        <w:ind w:left="720"/>
        <w:rPr>
          <w:color w:val="FF0000"/>
        </w:rPr>
      </w:pPr>
    </w:p>
    <w:p w:rsidR="1DD29868" w:rsidP="1DD29868" w:rsidRDefault="1DD29868" w14:paraId="3DC85F17" w14:textId="118BEEC9">
      <w:pPr>
        <w:ind w:left="720"/>
        <w:rPr>
          <w:color w:val="FF0000"/>
        </w:rPr>
      </w:pPr>
    </w:p>
    <w:p w:rsidR="1DD29868" w:rsidP="1DD29868" w:rsidRDefault="1DD29868" w14:paraId="1CA26814" w14:textId="2D40D8F7">
      <w:pPr>
        <w:ind w:left="720"/>
        <w:rPr>
          <w:color w:val="FF0000"/>
        </w:rPr>
      </w:pPr>
    </w:p>
    <w:p w:rsidR="1DD29868" w:rsidP="1DD29868" w:rsidRDefault="1DD29868" w14:paraId="2FE267C0" w14:textId="3D954A86">
      <w:pPr>
        <w:ind w:left="720"/>
        <w:rPr>
          <w:color w:val="FF0000"/>
        </w:rPr>
      </w:pPr>
    </w:p>
    <w:p w:rsidR="00FE1C3A" w:rsidP="00FE1C3A" w:rsidRDefault="00FE1C3A" w14:paraId="72E27F25" w14:textId="1C88B3B1">
      <w:pPr>
        <w:pStyle w:val="ListParagraph"/>
        <w:numPr>
          <w:ilvl w:val="1"/>
          <w:numId w:val="1"/>
        </w:numPr>
        <w:rPr/>
      </w:pPr>
      <w:r w:rsidR="00FE1C3A">
        <w:rPr/>
        <w:t xml:space="preserve">Clarify that use of FHIR by the payer in the communication to the patient is optional, the No Surprises Act does not require payers to provide the AEOB via an API.  </w:t>
      </w:r>
      <w:r w:rsidR="00775776">
        <w:rPr/>
        <w:t>Add that the payer provides the data to a 3</w:t>
      </w:r>
      <w:r w:rsidRPr="28C972C2" w:rsidR="00775776">
        <w:rPr>
          <w:vertAlign w:val="superscript"/>
        </w:rPr>
        <w:t>rd</w:t>
      </w:r>
      <w:r w:rsidR="00775776">
        <w:rPr/>
        <w:t xml:space="preserve"> party app who provides it to the patient.  </w:t>
      </w:r>
    </w:p>
    <w:p w:rsidR="1AAA7DF7" w:rsidP="28C972C2" w:rsidRDefault="1AAA7DF7" w14:paraId="7FA10192" w14:textId="2ABF75EB">
      <w:pPr>
        <w:ind w:left="720" w:firstLine="720"/>
        <w:rPr>
          <w:color w:val="FF0000"/>
        </w:rPr>
      </w:pPr>
      <w:r w:rsidRPr="28C972C2" w:rsidR="1AAA7DF7">
        <w:rPr>
          <w:color w:val="FF0000"/>
        </w:rPr>
        <w:t xml:space="preserve">The PCT IG/RI will allow for an AEOB to be sent to anyone that this authorized. </w:t>
      </w:r>
    </w:p>
    <w:p w:rsidR="1AAA7DF7" w:rsidP="28C972C2" w:rsidRDefault="1AAA7DF7" w14:paraId="695D1892" w14:textId="03C6D9FA">
      <w:pPr>
        <w:ind w:left="1440"/>
        <w:rPr>
          <w:color w:val="FF0000"/>
        </w:rPr>
      </w:pPr>
      <w:r w:rsidRPr="28C972C2" w:rsidR="1AAA7DF7">
        <w:rPr>
          <w:color w:val="FF0000"/>
        </w:rPr>
        <w:t xml:space="preserve">Note: It is my understanding Da Vinci IGs do not just comply with current reg/laws but instead also try to solve healthcare industry problems that could one day become a reg/law. </w:t>
      </w:r>
    </w:p>
    <w:p w:rsidR="1AAA7DF7" w:rsidP="28C972C2" w:rsidRDefault="1AAA7DF7" w14:paraId="45A409E3" w14:textId="31C34229">
      <w:pPr>
        <w:ind w:left="1440"/>
        <w:rPr>
          <w:color w:val="FF0000"/>
        </w:rPr>
      </w:pPr>
      <w:r w:rsidRPr="28C972C2" w:rsidR="1AAA7DF7">
        <w:rPr>
          <w:color w:val="FF0000"/>
        </w:rPr>
        <w:t>We are happy to make this optional in the IG if Da Vinci and the community wants this.</w:t>
      </w:r>
    </w:p>
    <w:p w:rsidR="1AAA7DF7" w:rsidP="28C972C2" w:rsidRDefault="1AAA7DF7" w14:paraId="19F6C1EA" w14:textId="6F3A7DD8">
      <w:pPr>
        <w:ind w:left="1440"/>
        <w:rPr>
          <w:b w:val="1"/>
          <w:bCs w:val="1"/>
          <w:color w:val="FF0000"/>
        </w:rPr>
      </w:pPr>
      <w:r w:rsidRPr="28C972C2" w:rsidR="1AAA7DF7">
        <w:rPr>
          <w:b w:val="1"/>
          <w:bCs w:val="1"/>
          <w:color w:val="FF0000"/>
        </w:rPr>
        <w:t>Vanessa/Viet/Da Vinci should this be optional?</w:t>
      </w:r>
    </w:p>
    <w:p w:rsidR="28C972C2" w:rsidP="28C972C2" w:rsidRDefault="28C972C2" w14:paraId="5636A96F" w14:textId="0D099D7C">
      <w:pPr>
        <w:pStyle w:val="Normal"/>
        <w:ind w:left="1440"/>
        <w:rPr>
          <w:b w:val="1"/>
          <w:bCs w:val="1"/>
          <w:color w:val="FF0000"/>
        </w:rPr>
      </w:pPr>
    </w:p>
    <w:p w:rsidR="1DD29868" w:rsidP="1DD29868" w:rsidRDefault="1DD29868" w14:paraId="73347BCF" w14:textId="60D025F1">
      <w:pPr>
        <w:ind w:left="720" w:firstLine="720"/>
      </w:pPr>
    </w:p>
    <w:p w:rsidR="5A7645FD" w:rsidP="1DD29868" w:rsidRDefault="5A7645FD" w14:paraId="124E01B0" w14:textId="527F39F8">
      <w:pPr>
        <w:ind w:left="720" w:firstLine="720"/>
      </w:pPr>
      <w:r>
        <w:t>Add that the payer provides the data to a 3</w:t>
      </w:r>
      <w:r w:rsidRPr="1DD29868">
        <w:rPr>
          <w:vertAlign w:val="superscript"/>
        </w:rPr>
        <w:t>rd</w:t>
      </w:r>
      <w:r>
        <w:t xml:space="preserve"> party app who provides it to the patient. </w:t>
      </w:r>
    </w:p>
    <w:p w:rsidR="5A7645FD" w:rsidP="1DD29868" w:rsidRDefault="5A7645FD" w14:paraId="3DCFA23C" w14:textId="511A0485">
      <w:pPr>
        <w:ind w:left="720" w:firstLine="720"/>
        <w:rPr>
          <w:color w:val="FF0000"/>
        </w:rPr>
      </w:pPr>
      <w:r w:rsidRPr="28C972C2" w:rsidR="5A7645FD">
        <w:rPr>
          <w:color w:val="FF0000"/>
        </w:rPr>
        <w:t xml:space="preserve"> Good suggestion, we can add that.</w:t>
      </w:r>
      <w:r w:rsidRPr="28C972C2" w:rsidR="5BE7C94D">
        <w:rPr>
          <w:color w:val="FF0000"/>
        </w:rPr>
        <w:t xml:space="preserve"> </w:t>
      </w:r>
    </w:p>
    <w:p w:rsidR="1DD29868" w:rsidP="1DD29868" w:rsidRDefault="1DD29868" w14:paraId="0F9B754D" w14:textId="5BD06E8E">
      <w:pPr>
        <w:pStyle w:val="ListParagraph"/>
        <w:ind w:left="1440"/>
      </w:pPr>
    </w:p>
    <w:p w:rsidR="005A74D2" w:rsidP="005A74D2" w:rsidRDefault="005A74D2" w14:paraId="34A11D20" w14:textId="4351A888">
      <w:pPr>
        <w:pStyle w:val="ListParagraph"/>
        <w:numPr>
          <w:ilvl w:val="0"/>
          <w:numId w:val="1"/>
        </w:numPr>
      </w:pPr>
      <w:r>
        <w:t>Background</w:t>
      </w:r>
    </w:p>
    <w:p w:rsidR="005A74D2" w:rsidP="005A74D2" w:rsidRDefault="005A74D2" w14:paraId="33608A59" w14:textId="77777777">
      <w:pPr>
        <w:pStyle w:val="ListParagraph"/>
        <w:numPr>
          <w:ilvl w:val="1"/>
          <w:numId w:val="1"/>
        </w:numPr>
      </w:pPr>
      <w:proofErr w:type="gramStart"/>
      <w:r>
        <w:t>3.1  Recommend</w:t>
      </w:r>
      <w:proofErr w:type="gramEnd"/>
      <w:r>
        <w:t xml:space="preserve"> adding this IG’s relationship to the CARIN IG for Blue Button®</w:t>
      </w:r>
    </w:p>
    <w:p w:rsidR="1DD29868" w:rsidP="28C972C2" w:rsidRDefault="29D1B14B" w14:paraId="36E67FDD" w14:textId="703EAC0E">
      <w:pPr>
        <w:pStyle w:val="Normal"/>
        <w:ind w:left="1440" w:firstLine="0"/>
        <w:rPr>
          <w:color w:val="FF0000"/>
        </w:rPr>
      </w:pPr>
      <w:r w:rsidRPr="28C972C2" w:rsidR="54AC0795">
        <w:rPr>
          <w:color w:val="FF0000"/>
        </w:rPr>
        <w:t xml:space="preserve">Other than the </w:t>
      </w:r>
      <w:r w:rsidRPr="28C972C2" w:rsidR="46AE0B38">
        <w:rPr>
          <w:color w:val="FF0000"/>
        </w:rPr>
        <w:t xml:space="preserve">current </w:t>
      </w:r>
      <w:r w:rsidRPr="28C972C2" w:rsidR="54AC0795">
        <w:rPr>
          <w:color w:val="FF0000"/>
        </w:rPr>
        <w:t xml:space="preserve">use of the some </w:t>
      </w:r>
      <w:r w:rsidRPr="28C972C2" w:rsidR="18CC8832">
        <w:rPr>
          <w:color w:val="FF0000"/>
        </w:rPr>
        <w:t>CARIN</w:t>
      </w:r>
      <w:r w:rsidRPr="28C972C2" w:rsidR="54AC0795">
        <w:rPr>
          <w:color w:val="FF0000"/>
        </w:rPr>
        <w:t xml:space="preserve"> value sets what is the relationship</w:t>
      </w:r>
      <w:r w:rsidRPr="28C972C2" w:rsidR="19B7832B">
        <w:rPr>
          <w:color w:val="FF0000"/>
        </w:rPr>
        <w:t xml:space="preserve"> </w:t>
      </w:r>
      <w:r w:rsidRPr="28C972C2" w:rsidR="19B7832B">
        <w:rPr>
          <w:color w:val="FF0000"/>
        </w:rPr>
        <w:t>CARIN IG for Blue Button®</w:t>
      </w:r>
      <w:r w:rsidRPr="28C972C2" w:rsidR="54AC0795">
        <w:rPr>
          <w:color w:val="FF0000"/>
        </w:rPr>
        <w:t>?</w:t>
      </w:r>
      <w:r w:rsidRPr="28C972C2" w:rsidR="0F8ABA48">
        <w:rPr>
          <w:color w:val="FF0000"/>
        </w:rPr>
        <w:t xml:space="preserve"> </w:t>
      </w:r>
      <w:r w:rsidRPr="28C972C2" w:rsidR="0F8ABA48">
        <w:rPr>
          <w:color w:val="FF0000"/>
        </w:rPr>
        <w:t xml:space="preserve"> </w:t>
      </w:r>
    </w:p>
    <w:p w:rsidR="005A74D2" w:rsidP="005A74D2" w:rsidRDefault="005A74D2" w14:paraId="2EBB3ADB" w14:textId="10D0C51A">
      <w:pPr>
        <w:pStyle w:val="ListParagraph"/>
        <w:numPr>
          <w:ilvl w:val="1"/>
          <w:numId w:val="1"/>
        </w:numPr>
      </w:pPr>
      <w:r>
        <w:t xml:space="preserve">Add a relationship diagram </w:t>
      </w:r>
      <w:proofErr w:type="gramStart"/>
      <w:r>
        <w:t>similar to</w:t>
      </w:r>
      <w:proofErr w:type="gramEnd"/>
      <w:r>
        <w:t xml:space="preserve"> the one in the </w:t>
      </w:r>
      <w:hyperlink w:anchor="us-core" r:id="rId11">
        <w:r w:rsidRPr="1DD29868">
          <w:rPr>
            <w:rStyle w:val="Hyperlink"/>
          </w:rPr>
          <w:t>CARIN IG</w:t>
        </w:r>
      </w:hyperlink>
      <w:r>
        <w:t>.</w:t>
      </w:r>
    </w:p>
    <w:p w:rsidR="00B53584" w:rsidP="28C972C2" w:rsidRDefault="5394835B" w14:paraId="34262EF1" w14:textId="5C3A6E6F">
      <w:pPr>
        <w:ind w:left="720" w:firstLine="720"/>
        <w:rPr>
          <w:color w:val="FF0000"/>
        </w:rPr>
      </w:pPr>
      <w:r w:rsidRPr="28C972C2" w:rsidR="5394835B">
        <w:rPr>
          <w:color w:val="FF0000"/>
        </w:rPr>
        <w:t xml:space="preserve">Good suggestion, I think we can add this to the TODO list. </w:t>
      </w:r>
    </w:p>
    <w:p w:rsidR="1DD29868" w:rsidP="1DD29868" w:rsidRDefault="1DD29868" w14:paraId="4F7865D4" w14:textId="605BE87F">
      <w:pPr>
        <w:pStyle w:val="ListParagraph"/>
        <w:ind w:left="1440"/>
      </w:pPr>
    </w:p>
    <w:p w:rsidR="1DD29868" w:rsidP="1DD29868" w:rsidRDefault="1DD29868" w14:paraId="242BB802" w14:textId="11F75658">
      <w:pPr>
        <w:pStyle w:val="ListParagraph"/>
        <w:ind w:left="1440"/>
      </w:pPr>
    </w:p>
    <w:p w:rsidR="1DD29868" w:rsidP="1DD29868" w:rsidRDefault="1DD29868" w14:paraId="50C7FDF7" w14:textId="24E6BE99">
      <w:pPr>
        <w:pStyle w:val="ListParagraph"/>
        <w:ind w:left="1440"/>
      </w:pPr>
    </w:p>
    <w:p w:rsidR="1DD29868" w:rsidP="1DD29868" w:rsidRDefault="1DD29868" w14:paraId="2F913D76" w14:textId="5059B8E1">
      <w:pPr>
        <w:pStyle w:val="ListParagraph"/>
        <w:ind w:left="1440"/>
      </w:pPr>
    </w:p>
    <w:p w:rsidR="1DD29868" w:rsidP="1DD29868" w:rsidRDefault="1DD29868" w14:paraId="26E8DDF7" w14:textId="7B1E96ED">
      <w:pPr>
        <w:pStyle w:val="ListParagraph"/>
        <w:ind w:left="1440"/>
      </w:pPr>
    </w:p>
    <w:p w:rsidR="1DD29868" w:rsidP="1DD29868" w:rsidRDefault="1DD29868" w14:paraId="4F1BF486" w14:textId="3F3FED1F">
      <w:pPr>
        <w:pStyle w:val="ListParagraph"/>
        <w:ind w:left="1440"/>
      </w:pPr>
    </w:p>
    <w:p w:rsidR="1DD29868" w:rsidP="1DD29868" w:rsidRDefault="1DD29868" w14:paraId="3EDBB483" w14:textId="3F166069">
      <w:pPr>
        <w:pStyle w:val="ListParagraph"/>
        <w:ind w:left="1440"/>
      </w:pPr>
    </w:p>
    <w:p w:rsidR="1DD29868" w:rsidP="1DD29868" w:rsidRDefault="1DD29868" w14:paraId="25E8BB5F" w14:textId="6E5BA128">
      <w:pPr>
        <w:pStyle w:val="ListParagraph"/>
        <w:ind w:left="1440"/>
      </w:pPr>
    </w:p>
    <w:p w:rsidR="1DD29868" w:rsidP="1DD29868" w:rsidRDefault="1DD29868" w14:paraId="77EE3ED0" w14:textId="7BFB142A">
      <w:pPr>
        <w:pStyle w:val="ListParagraph"/>
        <w:ind w:left="1440"/>
      </w:pPr>
    </w:p>
    <w:p w:rsidR="1DD29868" w:rsidP="1DD29868" w:rsidRDefault="1DD29868" w14:paraId="3ECE15A0" w14:textId="636ED3EB">
      <w:pPr>
        <w:pStyle w:val="ListParagraph"/>
        <w:ind w:left="1440"/>
      </w:pPr>
    </w:p>
    <w:p w:rsidR="1DD29868" w:rsidP="1DD29868" w:rsidRDefault="1DD29868" w14:paraId="4402DD8A" w14:textId="34CCDB01">
      <w:pPr>
        <w:pStyle w:val="ListParagraph"/>
        <w:ind w:left="1440"/>
      </w:pPr>
    </w:p>
    <w:p w:rsidR="1DD29868" w:rsidP="1DD29868" w:rsidRDefault="1DD29868" w14:paraId="007AC210" w14:textId="304FB94E">
      <w:pPr>
        <w:pStyle w:val="ListParagraph"/>
        <w:ind w:left="1440"/>
      </w:pPr>
    </w:p>
    <w:p w:rsidR="1DD29868" w:rsidP="1DD29868" w:rsidRDefault="1DD29868" w14:paraId="03F21989" w14:textId="72497E6B">
      <w:pPr>
        <w:pStyle w:val="ListParagraph"/>
        <w:ind w:left="1440"/>
      </w:pPr>
    </w:p>
    <w:p w:rsidR="1DD29868" w:rsidP="1DD29868" w:rsidRDefault="1DD29868" w14:paraId="4F1B067C" w14:textId="49CA42F7">
      <w:pPr>
        <w:pStyle w:val="ListParagraph"/>
        <w:ind w:left="1440"/>
      </w:pPr>
    </w:p>
    <w:p w:rsidR="1DD29868" w:rsidP="1DD29868" w:rsidRDefault="1DD29868" w14:paraId="3185930C" w14:textId="5324CA2B">
      <w:pPr>
        <w:pStyle w:val="ListParagraph"/>
        <w:ind w:left="1440"/>
      </w:pPr>
    </w:p>
    <w:p w:rsidR="1DD29868" w:rsidP="1DD29868" w:rsidRDefault="1DD29868" w14:paraId="259EABC4" w14:textId="2D802892">
      <w:pPr>
        <w:pStyle w:val="ListParagraph"/>
        <w:ind w:left="1440"/>
      </w:pPr>
    </w:p>
    <w:p w:rsidR="1DD29868" w:rsidP="1DD29868" w:rsidRDefault="1DD29868" w14:paraId="03B85725" w14:textId="4E571A7B">
      <w:pPr>
        <w:pStyle w:val="ListParagraph"/>
        <w:ind w:left="1440"/>
      </w:pPr>
    </w:p>
    <w:p w:rsidR="1DD29868" w:rsidP="1DD29868" w:rsidRDefault="1DD29868" w14:paraId="2BD5D3F4" w14:textId="6AA04141">
      <w:pPr>
        <w:pStyle w:val="ListParagraph"/>
        <w:ind w:left="1440"/>
      </w:pPr>
    </w:p>
    <w:p w:rsidR="1DD29868" w:rsidP="1DD29868" w:rsidRDefault="1DD29868" w14:paraId="569FA1B2" w14:textId="726C9C25">
      <w:pPr>
        <w:pStyle w:val="ListParagraph"/>
        <w:ind w:left="1440"/>
      </w:pPr>
    </w:p>
    <w:p w:rsidR="00B53584" w:rsidP="00B53584" w:rsidRDefault="00B53584" w14:paraId="669AA4B3" w14:textId="37E3ABBE">
      <w:pPr>
        <w:pStyle w:val="ListParagraph"/>
        <w:numPr>
          <w:ilvl w:val="0"/>
          <w:numId w:val="5"/>
        </w:numPr>
      </w:pPr>
      <w:r>
        <w:t>Formal Specification</w:t>
      </w:r>
    </w:p>
    <w:p w:rsidR="00B53584" w:rsidP="00B53584" w:rsidRDefault="00B53584" w14:paraId="39656B25" w14:textId="77777777">
      <w:pPr>
        <w:ind w:left="720"/>
      </w:pPr>
      <w:r>
        <w:t xml:space="preserve">4.1.3  </w:t>
      </w:r>
    </w:p>
    <w:p w:rsidR="00B53584" w:rsidP="00286BC3" w:rsidRDefault="00B53584" w14:paraId="344069D9" w14:textId="2CA788D9">
      <w:pPr>
        <w:ind w:left="1080"/>
      </w:pPr>
      <w:r>
        <w:t>a. The definition of client systems isn’t accurate…the client system will be a provider’s Billing Management Software, not their electronic medical records.</w:t>
      </w:r>
    </w:p>
    <w:p w:rsidR="2060979C" w:rsidP="1DD29868" w:rsidRDefault="2060979C" w14:paraId="67B64BAE" w14:textId="4834BCD9">
      <w:pPr>
        <w:ind w:left="1080"/>
        <w:rPr>
          <w:rFonts w:ascii="Calibri" w:hAnsi="Calibri" w:eastAsia="Calibri" w:cs="Calibri"/>
          <w:color w:val="FF0000"/>
        </w:rPr>
      </w:pPr>
      <w:r w:rsidRPr="28C972C2" w:rsidR="2060979C">
        <w:rPr>
          <w:color w:val="FF0000"/>
        </w:rPr>
        <w:t xml:space="preserve">We were aware </w:t>
      </w:r>
      <w:r w:rsidRPr="28C972C2" w:rsidR="37F15902">
        <w:rPr>
          <w:color w:val="FF0000"/>
        </w:rPr>
        <w:t xml:space="preserve">of </w:t>
      </w:r>
      <w:r w:rsidRPr="28C972C2" w:rsidR="2060979C">
        <w:rPr>
          <w:rFonts w:ascii="Calibri" w:hAnsi="Calibri" w:eastAsia="Calibri" w:cs="Calibri"/>
          <w:color w:val="FF0000"/>
        </w:rPr>
        <w:t>Billing Management Software being involved</w:t>
      </w:r>
      <w:r w:rsidRPr="28C972C2" w:rsidR="321D6FE5">
        <w:rPr>
          <w:rFonts w:ascii="Calibri" w:hAnsi="Calibri" w:eastAsia="Calibri" w:cs="Calibri"/>
          <w:color w:val="FF0000"/>
        </w:rPr>
        <w:t>. We can add this.</w:t>
      </w:r>
    </w:p>
    <w:p w:rsidR="321D6FE5" w:rsidP="1DD29868" w:rsidRDefault="321D6FE5" w14:paraId="6AAE4EF7" w14:textId="6C7DA79C">
      <w:pPr>
        <w:ind w:left="1080"/>
        <w:rPr>
          <w:rFonts w:ascii="Calibri" w:hAnsi="Calibri" w:eastAsia="Calibri" w:cs="Calibri"/>
          <w:color w:val="FF0000"/>
        </w:rPr>
      </w:pPr>
      <w:r w:rsidRPr="1DD29868">
        <w:rPr>
          <w:rFonts w:ascii="Calibri" w:hAnsi="Calibri" w:eastAsia="Calibri" w:cs="Calibri"/>
          <w:color w:val="FF0000"/>
        </w:rPr>
        <w:t>Also, a</w:t>
      </w:r>
      <w:r w:rsidRPr="1DD29868" w:rsidR="2060979C">
        <w:rPr>
          <w:rFonts w:ascii="Calibri" w:hAnsi="Calibri" w:eastAsia="Calibri" w:cs="Calibri"/>
          <w:color w:val="FF0000"/>
        </w:rPr>
        <w:t xml:space="preserve">re you saying </w:t>
      </w:r>
      <w:r w:rsidRPr="1DD29868" w:rsidR="736A0F8E">
        <w:rPr>
          <w:rFonts w:ascii="Calibri" w:hAnsi="Calibri" w:eastAsia="Calibri" w:cs="Calibri"/>
          <w:color w:val="FF0000"/>
        </w:rPr>
        <w:t>EHR</w:t>
      </w:r>
      <w:r w:rsidRPr="1DD29868" w:rsidR="0E357ABF">
        <w:rPr>
          <w:rFonts w:ascii="Calibri" w:hAnsi="Calibri" w:eastAsia="Calibri" w:cs="Calibri"/>
          <w:color w:val="FF0000"/>
        </w:rPr>
        <w:t>s</w:t>
      </w:r>
      <w:r w:rsidRPr="1DD29868" w:rsidR="736A0F8E">
        <w:rPr>
          <w:rFonts w:ascii="Calibri" w:hAnsi="Calibri" w:eastAsia="Calibri" w:cs="Calibri"/>
          <w:color w:val="FF0000"/>
        </w:rPr>
        <w:t xml:space="preserve"> </w:t>
      </w:r>
      <w:r w:rsidRPr="1DD29868" w:rsidR="3BB034EE">
        <w:rPr>
          <w:rFonts w:ascii="Calibri" w:hAnsi="Calibri" w:eastAsia="Calibri" w:cs="Calibri"/>
          <w:color w:val="FF0000"/>
        </w:rPr>
        <w:t>are</w:t>
      </w:r>
      <w:r w:rsidRPr="1DD29868" w:rsidR="736A0F8E">
        <w:rPr>
          <w:rFonts w:ascii="Calibri" w:hAnsi="Calibri" w:eastAsia="Calibri" w:cs="Calibri"/>
          <w:color w:val="FF0000"/>
        </w:rPr>
        <w:t xml:space="preserve"> not involved at </w:t>
      </w:r>
      <w:r w:rsidRPr="1DD29868" w:rsidR="736A0F8E">
        <w:rPr>
          <w:rFonts w:ascii="Calibri" w:hAnsi="Calibri" w:eastAsia="Calibri" w:cs="Calibri"/>
          <w:b/>
          <w:bCs/>
          <w:color w:val="FF0000"/>
        </w:rPr>
        <w:t>all</w:t>
      </w:r>
      <w:r w:rsidRPr="1DD29868" w:rsidR="74F62373">
        <w:rPr>
          <w:rFonts w:ascii="Calibri" w:hAnsi="Calibri" w:eastAsia="Calibri" w:cs="Calibri"/>
          <w:b/>
          <w:bCs/>
          <w:color w:val="FF0000"/>
        </w:rPr>
        <w:t xml:space="preserve"> </w:t>
      </w:r>
      <w:r w:rsidRPr="1DD29868" w:rsidR="74F62373">
        <w:rPr>
          <w:rFonts w:ascii="Calibri" w:hAnsi="Calibri" w:eastAsia="Calibri" w:cs="Calibri"/>
          <w:color w:val="FF0000"/>
        </w:rPr>
        <w:t>in this process</w:t>
      </w:r>
      <w:r w:rsidRPr="1DD29868" w:rsidR="79DF2117">
        <w:rPr>
          <w:rFonts w:ascii="Calibri" w:hAnsi="Calibri" w:eastAsia="Calibri" w:cs="Calibri"/>
          <w:color w:val="FF0000"/>
        </w:rPr>
        <w:t xml:space="preserve"> </w:t>
      </w:r>
      <w:r w:rsidRPr="1DD29868" w:rsidR="61814A72">
        <w:rPr>
          <w:rFonts w:ascii="Calibri" w:hAnsi="Calibri" w:eastAsia="Calibri" w:cs="Calibri"/>
          <w:color w:val="FF0000"/>
        </w:rPr>
        <w:t xml:space="preserve">by </w:t>
      </w:r>
      <w:r w:rsidRPr="1DD29868" w:rsidR="61814A72">
        <w:rPr>
          <w:rFonts w:ascii="Calibri" w:hAnsi="Calibri" w:eastAsia="Calibri" w:cs="Calibri"/>
          <w:b/>
          <w:bCs/>
          <w:color w:val="FF0000"/>
        </w:rPr>
        <w:t xml:space="preserve">all </w:t>
      </w:r>
      <w:r w:rsidRPr="1DD29868" w:rsidR="79DF2117">
        <w:rPr>
          <w:rFonts w:ascii="Calibri" w:hAnsi="Calibri" w:eastAsia="Calibri" w:cs="Calibri"/>
          <w:color w:val="FF0000"/>
        </w:rPr>
        <w:t>providers</w:t>
      </w:r>
      <w:r w:rsidRPr="1DD29868" w:rsidR="736A0F8E">
        <w:rPr>
          <w:rFonts w:ascii="Calibri" w:hAnsi="Calibri" w:eastAsia="Calibri" w:cs="Calibri"/>
          <w:color w:val="FF0000"/>
        </w:rPr>
        <w:t>?</w:t>
      </w:r>
    </w:p>
    <w:p w:rsidR="00CE0F5F" w:rsidP="00286BC3" w:rsidRDefault="00B53584" w14:paraId="385D4A4A" w14:textId="5B6F509B">
      <w:pPr>
        <w:ind w:left="1080"/>
        <w:rPr>
          <w:rFonts w:eastAsia="Times New Roman"/>
        </w:rPr>
      </w:pPr>
      <w:r>
        <w:t>b. The definition of payer systems should read ‘</w:t>
      </w:r>
      <w:r w:rsidR="00CE0F5F">
        <w:t xml:space="preserve">Payer systems adjudicate GFEs that have been submitted by a healthcare provider. The systems determine if a provider is in or out of network, verify patient eligibility, apply contracted amounts </w:t>
      </w:r>
      <w:r w:rsidRPr="1DD29868" w:rsidR="00CE0F5F">
        <w:rPr>
          <w:rFonts w:eastAsia="Times New Roman"/>
        </w:rPr>
        <w:t>the provider’s network status needs to be confirmed, patient eligibility verified, and apply member cost sharing amounts</w:t>
      </w:r>
    </w:p>
    <w:p w:rsidR="74E17E87" w:rsidP="1DD29868" w:rsidRDefault="74E17E87" w14:paraId="05297902" w14:textId="08A9C540">
      <w:pPr>
        <w:ind w:left="1080"/>
        <w:rPr>
          <w:rFonts w:eastAsia="Times New Roman"/>
          <w:color w:val="FF0000"/>
        </w:rPr>
      </w:pPr>
      <w:r w:rsidRPr="28C972C2" w:rsidR="74E17E87">
        <w:rPr>
          <w:rFonts w:eastAsia="Times New Roman"/>
          <w:color w:val="FF0000"/>
        </w:rPr>
        <w:t xml:space="preserve">Sounds great, we can add this. </w:t>
      </w:r>
    </w:p>
    <w:p w:rsidR="1DD29868" w:rsidP="1DD29868" w:rsidRDefault="1DD29868" w14:paraId="6AA2A74B" w14:textId="451AD0A4">
      <w:pPr>
        <w:ind w:left="1080"/>
        <w:rPr>
          <w:rFonts w:eastAsia="Times New Roman"/>
          <w:color w:val="FF0000"/>
        </w:rPr>
      </w:pPr>
    </w:p>
    <w:p w:rsidR="0002575F" w:rsidP="00B53584" w:rsidRDefault="004A4FD2" w14:paraId="355570A0" w14:textId="5637DBF7">
      <w:pPr>
        <w:ind w:left="720"/>
        <w:rPr>
          <w:rFonts w:eastAsia="Times New Roman"/>
        </w:rPr>
      </w:pPr>
      <w:r>
        <w:rPr>
          <w:rFonts w:eastAsia="Times New Roman"/>
        </w:rPr>
        <w:t>4.1.5</w:t>
      </w:r>
      <w:r w:rsidR="0002575F">
        <w:rPr>
          <w:rFonts w:eastAsia="Times New Roman"/>
        </w:rPr>
        <w:t xml:space="preserve"> Re the note that the CARIN value sets are under discussion,</w:t>
      </w:r>
    </w:p>
    <w:p w:rsidR="0002575F" w:rsidP="00286BC3" w:rsidRDefault="0002575F" w14:paraId="4088C6D0" w14:textId="77777777">
      <w:pPr>
        <w:ind w:left="1080"/>
        <w:rPr>
          <w:rFonts w:eastAsia="Times New Roman"/>
        </w:rPr>
      </w:pPr>
      <w:r w:rsidRPr="1DD29868">
        <w:rPr>
          <w:rFonts w:eastAsia="Times New Roman"/>
        </w:rPr>
        <w:t xml:space="preserve">a. Industry standard value sets and code systems (i.e., </w:t>
      </w:r>
      <w:r w:rsidRPr="1DD29868" w:rsidR="004A4FD2">
        <w:rPr>
          <w:rFonts w:eastAsia="Times New Roman"/>
        </w:rPr>
        <w:t>CPT, HCPCS, DRG, etc.</w:t>
      </w:r>
      <w:r w:rsidRPr="1DD29868">
        <w:rPr>
          <w:rFonts w:eastAsia="Times New Roman"/>
        </w:rPr>
        <w:t>)</w:t>
      </w:r>
      <w:r w:rsidRPr="1DD29868" w:rsidR="004A4FD2">
        <w:rPr>
          <w:rFonts w:eastAsia="Times New Roman"/>
        </w:rPr>
        <w:t xml:space="preserve"> should be the same as those defined by CARIN.  They align with those defined by the HL7 Terminology Authority.  </w:t>
      </w:r>
    </w:p>
    <w:p w:rsidR="42089238" w:rsidP="1DD29868" w:rsidRDefault="42089238" w14:paraId="5B1784C4" w14:textId="48CA4C04">
      <w:pPr>
        <w:ind w:left="1080"/>
        <w:rPr>
          <w:rFonts w:eastAsia="Times New Roman"/>
          <w:color w:val="FF0000"/>
        </w:rPr>
      </w:pPr>
      <w:r w:rsidRPr="1DD29868">
        <w:rPr>
          <w:rFonts w:eastAsia="Times New Roman"/>
          <w:color w:val="FF0000"/>
        </w:rPr>
        <w:t>We agree</w:t>
      </w:r>
      <w:r w:rsidRPr="1DD29868" w:rsidR="26C0674F">
        <w:rPr>
          <w:rFonts w:eastAsia="Times New Roman"/>
          <w:color w:val="FF0000"/>
        </w:rPr>
        <w:t xml:space="preserve"> for the most part</w:t>
      </w:r>
      <w:r w:rsidRPr="1DD29868">
        <w:rPr>
          <w:rFonts w:eastAsia="Times New Roman"/>
          <w:color w:val="FF0000"/>
        </w:rPr>
        <w:t xml:space="preserve"> and expect </w:t>
      </w:r>
      <w:r w:rsidRPr="1DD29868" w:rsidR="6061B023">
        <w:rPr>
          <w:rFonts w:eastAsia="Times New Roman"/>
          <w:color w:val="FF0000"/>
        </w:rPr>
        <w:t xml:space="preserve">several </w:t>
      </w:r>
      <w:r w:rsidRPr="1DD29868" w:rsidR="0612D9E8">
        <w:rPr>
          <w:rFonts w:eastAsia="Times New Roman"/>
          <w:color w:val="FF0000"/>
        </w:rPr>
        <w:t xml:space="preserve">value sets </w:t>
      </w:r>
      <w:r w:rsidRPr="1DD29868" w:rsidR="44B7BF19">
        <w:rPr>
          <w:rFonts w:eastAsia="Times New Roman"/>
          <w:color w:val="FF0000"/>
        </w:rPr>
        <w:t>used by</w:t>
      </w:r>
      <w:r w:rsidRPr="1DD29868" w:rsidR="0612D9E8">
        <w:rPr>
          <w:rFonts w:eastAsia="Times New Roman"/>
          <w:color w:val="FF0000"/>
        </w:rPr>
        <w:t xml:space="preserve"> the</w:t>
      </w:r>
      <w:r w:rsidRPr="1DD29868">
        <w:rPr>
          <w:rFonts w:eastAsia="Times New Roman"/>
          <w:color w:val="FF0000"/>
        </w:rPr>
        <w:t xml:space="preserve"> PCT IG </w:t>
      </w:r>
      <w:r w:rsidRPr="1DD29868" w:rsidR="1580D2D5">
        <w:rPr>
          <w:rFonts w:eastAsia="Times New Roman"/>
          <w:color w:val="FF0000"/>
        </w:rPr>
        <w:t xml:space="preserve">will be similar or the same as the ones uses in the CARIN IG. But since this </w:t>
      </w:r>
      <w:r w:rsidRPr="1DD29868" w:rsidR="63B04AC9">
        <w:rPr>
          <w:rFonts w:eastAsia="Times New Roman"/>
          <w:color w:val="FF0000"/>
        </w:rPr>
        <w:t xml:space="preserve">is </w:t>
      </w:r>
      <w:r w:rsidRPr="1DD29868" w:rsidR="1580D2D5">
        <w:rPr>
          <w:rFonts w:eastAsia="Times New Roman"/>
          <w:color w:val="FF0000"/>
        </w:rPr>
        <w:t xml:space="preserve">still being </w:t>
      </w:r>
      <w:proofErr w:type="gramStart"/>
      <w:r w:rsidRPr="1DD29868" w:rsidR="1580D2D5">
        <w:rPr>
          <w:rFonts w:eastAsia="Times New Roman"/>
          <w:color w:val="FF0000"/>
        </w:rPr>
        <w:t>review</w:t>
      </w:r>
      <w:r w:rsidRPr="1DD29868" w:rsidR="18C26AF2">
        <w:rPr>
          <w:rFonts w:eastAsia="Times New Roman"/>
          <w:color w:val="FF0000"/>
        </w:rPr>
        <w:t>ed</w:t>
      </w:r>
      <w:proofErr w:type="gramEnd"/>
      <w:r w:rsidRPr="1DD29868" w:rsidR="1580D2D5">
        <w:rPr>
          <w:rFonts w:eastAsia="Times New Roman"/>
          <w:color w:val="FF0000"/>
        </w:rPr>
        <w:t xml:space="preserve"> we can</w:t>
      </w:r>
      <w:r w:rsidRPr="1DD29868" w:rsidR="04A997FC">
        <w:rPr>
          <w:rFonts w:eastAsia="Times New Roman"/>
          <w:color w:val="FF0000"/>
        </w:rPr>
        <w:t>not</w:t>
      </w:r>
      <w:r w:rsidRPr="1DD29868" w:rsidR="1580D2D5">
        <w:rPr>
          <w:rFonts w:eastAsia="Times New Roman"/>
          <w:color w:val="FF0000"/>
        </w:rPr>
        <w:t xml:space="preserve"> make this blanket statem</w:t>
      </w:r>
      <w:r w:rsidRPr="1DD29868" w:rsidR="3D20F515">
        <w:rPr>
          <w:rFonts w:eastAsia="Times New Roman"/>
          <w:color w:val="FF0000"/>
        </w:rPr>
        <w:t>ent at this time.</w:t>
      </w:r>
    </w:p>
    <w:p w:rsidR="004A4FD2" w:rsidP="00286BC3" w:rsidRDefault="0002575F" w14:paraId="2DA1F866" w14:textId="35A8D8A3">
      <w:pPr>
        <w:ind w:left="1080"/>
        <w:rPr>
          <w:rFonts w:eastAsia="Times New Roman"/>
        </w:rPr>
      </w:pPr>
      <w:r w:rsidRPr="1DD29868">
        <w:rPr>
          <w:rFonts w:eastAsia="Times New Roman"/>
        </w:rPr>
        <w:t>b.  For t</w:t>
      </w:r>
      <w:r w:rsidRPr="1DD29868" w:rsidR="004A4FD2">
        <w:rPr>
          <w:rFonts w:eastAsia="Times New Roman"/>
        </w:rPr>
        <w:t xml:space="preserve">hose that </w:t>
      </w:r>
      <w:r w:rsidRPr="1DD29868">
        <w:rPr>
          <w:rFonts w:eastAsia="Times New Roman"/>
        </w:rPr>
        <w:t>are</w:t>
      </w:r>
      <w:r w:rsidRPr="1DD29868" w:rsidR="004A4FD2">
        <w:rPr>
          <w:rFonts w:eastAsia="Times New Roman"/>
        </w:rPr>
        <w:t xml:space="preserve"> prefixed with C4BB, recommend conducting an assessment to determine if the GFE / AEOB use case calls for values that differ from CARIN.</w:t>
      </w:r>
    </w:p>
    <w:p w:rsidR="74DA75CB" w:rsidP="1DD29868" w:rsidRDefault="74DA75CB" w14:paraId="39515E81" w14:textId="5E216B44">
      <w:pPr>
        <w:ind w:left="1080"/>
        <w:rPr>
          <w:rFonts w:eastAsia="Times New Roman"/>
          <w:color w:val="FF0000"/>
        </w:rPr>
      </w:pPr>
      <w:r w:rsidRPr="1DD29868">
        <w:rPr>
          <w:rFonts w:eastAsia="Times New Roman"/>
          <w:color w:val="FF0000"/>
        </w:rPr>
        <w:t>Yes, this is already an ongoing task. Thanks</w:t>
      </w:r>
    </w:p>
    <w:p w:rsidR="1DD29868" w:rsidP="1DD29868" w:rsidRDefault="1DD29868" w14:paraId="7167B201" w14:textId="402EC062">
      <w:pPr>
        <w:ind w:left="1080"/>
        <w:rPr>
          <w:rFonts w:eastAsia="Times New Roman"/>
        </w:rPr>
      </w:pPr>
    </w:p>
    <w:p w:rsidR="1DD29868" w:rsidP="1DD29868" w:rsidRDefault="1DD29868" w14:paraId="7998CC5A" w14:textId="4809C82B">
      <w:pPr>
        <w:ind w:left="1080"/>
        <w:rPr>
          <w:rFonts w:eastAsia="Times New Roman"/>
        </w:rPr>
      </w:pPr>
    </w:p>
    <w:p w:rsidR="1DD29868" w:rsidP="1DD29868" w:rsidRDefault="1DD29868" w14:paraId="0A03950A" w14:textId="08C0C606">
      <w:pPr>
        <w:ind w:left="1080"/>
        <w:rPr>
          <w:rFonts w:eastAsia="Times New Roman"/>
        </w:rPr>
      </w:pPr>
    </w:p>
    <w:p w:rsidR="1DD29868" w:rsidP="1DD29868" w:rsidRDefault="1DD29868" w14:paraId="2BE9FB5B" w14:textId="06F138B9">
      <w:pPr>
        <w:ind w:left="1080"/>
        <w:rPr>
          <w:rFonts w:eastAsia="Times New Roman"/>
        </w:rPr>
      </w:pPr>
    </w:p>
    <w:p w:rsidR="1DD29868" w:rsidP="1DD29868" w:rsidRDefault="1DD29868" w14:paraId="10F3942C" w14:textId="77733494">
      <w:pPr>
        <w:ind w:left="1080"/>
        <w:rPr>
          <w:rFonts w:eastAsia="Times New Roman"/>
        </w:rPr>
      </w:pPr>
    </w:p>
    <w:p w:rsidR="1DD29868" w:rsidP="1DD29868" w:rsidRDefault="1DD29868" w14:paraId="37CC51B3" w14:textId="5313BDCF">
      <w:pPr>
        <w:ind w:left="1080"/>
        <w:rPr>
          <w:rFonts w:eastAsia="Times New Roman"/>
        </w:rPr>
      </w:pPr>
    </w:p>
    <w:p w:rsidR="1DD29868" w:rsidP="1DD29868" w:rsidRDefault="1DD29868" w14:paraId="3214CD2A" w14:textId="45C0D34C">
      <w:pPr>
        <w:ind w:left="1080"/>
        <w:rPr>
          <w:rFonts w:eastAsia="Times New Roman"/>
        </w:rPr>
      </w:pPr>
    </w:p>
    <w:p w:rsidR="1DD29868" w:rsidP="1DD29868" w:rsidRDefault="1DD29868" w14:paraId="02033C22" w14:textId="34E67ED6">
      <w:pPr>
        <w:ind w:left="1080"/>
        <w:rPr>
          <w:rFonts w:eastAsia="Times New Roman"/>
        </w:rPr>
      </w:pPr>
    </w:p>
    <w:p w:rsidR="009E5889" w:rsidP="009E5889" w:rsidRDefault="009E5889" w14:paraId="188711A7" w14:textId="19A95A8A">
      <w:pPr>
        <w:pStyle w:val="ListParagraph"/>
        <w:numPr>
          <w:ilvl w:val="0"/>
          <w:numId w:val="6"/>
        </w:numPr>
      </w:pPr>
      <w:r>
        <w:t>Underlying Technologies</w:t>
      </w:r>
    </w:p>
    <w:p w:rsidR="009E5889" w:rsidP="009E5889" w:rsidRDefault="009E5889" w14:paraId="11032BAA" w14:textId="3537F315">
      <w:pPr>
        <w:ind w:left="720"/>
      </w:pPr>
      <w:r>
        <w:t>6.3 US Core – remove sentence referencing clinical systems…the PCT use case calls for the use of provider billing and payer claims adjudication systems.</w:t>
      </w:r>
    </w:p>
    <w:p w:rsidR="623AF3D7" w:rsidP="1DD29868" w:rsidRDefault="623AF3D7" w14:paraId="621E6B1B" w14:textId="5DF59CF7">
      <w:pPr>
        <w:ind w:left="720"/>
        <w:rPr>
          <w:color w:val="FF0000"/>
        </w:rPr>
      </w:pPr>
      <w:r w:rsidRPr="28C972C2" w:rsidR="623AF3D7">
        <w:rPr>
          <w:color w:val="FF0000"/>
        </w:rPr>
        <w:t>We can certainly add text to mention “provider billing” and “payer claims adjudication systems</w:t>
      </w:r>
      <w:r w:rsidRPr="28C972C2" w:rsidR="6B4986BE">
        <w:rPr>
          <w:color w:val="FF0000"/>
        </w:rPr>
        <w:t>”</w:t>
      </w:r>
      <w:r w:rsidRPr="28C972C2" w:rsidR="623AF3D7">
        <w:rPr>
          <w:color w:val="FF0000"/>
        </w:rPr>
        <w:t>.</w:t>
      </w:r>
      <w:r w:rsidRPr="28C972C2" w:rsidR="5B867994">
        <w:rPr>
          <w:color w:val="FF0000"/>
        </w:rPr>
        <w:t xml:space="preserve"> </w:t>
      </w:r>
    </w:p>
    <w:p w:rsidR="1F1AC83C" w:rsidP="1DD29868" w:rsidRDefault="1F1AC83C" w14:paraId="09368C80" w14:textId="0CB7DD92">
      <w:pPr>
        <w:ind w:left="720"/>
        <w:rPr>
          <w:color w:val="FF0000"/>
        </w:rPr>
      </w:pPr>
      <w:r w:rsidRPr="1DD29868">
        <w:rPr>
          <w:color w:val="FF0000"/>
        </w:rPr>
        <w:t xml:space="preserve">Are you saying EHRs (clinical systems) are never used by any provider during a workflow like this?  </w:t>
      </w:r>
    </w:p>
    <w:p w:rsidR="1DD29868" w:rsidP="1DD29868" w:rsidRDefault="1DD29868" w14:paraId="206BC64F" w14:textId="759AF5CD">
      <w:pPr>
        <w:ind w:left="720"/>
        <w:rPr>
          <w:color w:val="FF0000"/>
        </w:rPr>
      </w:pPr>
    </w:p>
    <w:p w:rsidR="1DD29868" w:rsidP="1DD29868" w:rsidRDefault="1DD29868" w14:paraId="195A1149" w14:textId="28977A59">
      <w:pPr>
        <w:ind w:left="720"/>
      </w:pPr>
    </w:p>
    <w:p w:rsidR="1DD29868" w:rsidP="1DD29868" w:rsidRDefault="1DD29868" w14:paraId="135C2D6C" w14:textId="525AE393">
      <w:pPr>
        <w:ind w:left="720"/>
      </w:pPr>
    </w:p>
    <w:p w:rsidR="1DD29868" w:rsidP="1DD29868" w:rsidRDefault="1DD29868" w14:paraId="0E042CE2" w14:textId="47EA88C2">
      <w:pPr>
        <w:ind w:left="720"/>
      </w:pPr>
    </w:p>
    <w:p w:rsidR="1DD29868" w:rsidP="1DD29868" w:rsidRDefault="1DD29868" w14:paraId="31DAE14F" w14:textId="71869BBE">
      <w:pPr>
        <w:ind w:left="720"/>
      </w:pPr>
    </w:p>
    <w:p w:rsidR="1DD29868" w:rsidP="1DD29868" w:rsidRDefault="1DD29868" w14:paraId="5F9E9821" w14:textId="67847CF8">
      <w:pPr>
        <w:ind w:left="720"/>
      </w:pPr>
    </w:p>
    <w:p w:rsidR="1DD29868" w:rsidP="1DD29868" w:rsidRDefault="1DD29868" w14:paraId="02FC1925" w14:textId="6CD88DBB">
      <w:pPr>
        <w:ind w:left="720"/>
      </w:pPr>
    </w:p>
    <w:p w:rsidR="1DD29868" w:rsidP="1DD29868" w:rsidRDefault="1DD29868" w14:paraId="2CE7A139" w14:textId="4DB2CFCC">
      <w:pPr>
        <w:ind w:left="720"/>
      </w:pPr>
    </w:p>
    <w:p w:rsidR="1DD29868" w:rsidP="1DD29868" w:rsidRDefault="1DD29868" w14:paraId="610033FD" w14:textId="07E52D77">
      <w:pPr>
        <w:ind w:left="720"/>
      </w:pPr>
    </w:p>
    <w:p w:rsidR="1DD29868" w:rsidP="1DD29868" w:rsidRDefault="1DD29868" w14:paraId="00337897" w14:textId="55B40685">
      <w:pPr>
        <w:ind w:left="720"/>
      </w:pPr>
    </w:p>
    <w:p w:rsidR="1DD29868" w:rsidP="1DD29868" w:rsidRDefault="1DD29868" w14:paraId="3FD3A98C" w14:textId="1DA3C81F">
      <w:pPr>
        <w:ind w:left="720"/>
      </w:pPr>
    </w:p>
    <w:p w:rsidR="1DD29868" w:rsidP="1DD29868" w:rsidRDefault="1DD29868" w14:paraId="76069F68" w14:textId="3409C998">
      <w:pPr>
        <w:ind w:left="720"/>
      </w:pPr>
    </w:p>
    <w:p w:rsidR="1DD29868" w:rsidP="1DD29868" w:rsidRDefault="1DD29868" w14:paraId="428A7C14" w14:textId="690603F5">
      <w:pPr>
        <w:ind w:left="720"/>
      </w:pPr>
    </w:p>
    <w:p w:rsidR="1DD29868" w:rsidP="1DD29868" w:rsidRDefault="1DD29868" w14:paraId="257A6A59" w14:textId="5ACF70FA">
      <w:pPr>
        <w:ind w:left="720"/>
      </w:pPr>
    </w:p>
    <w:p w:rsidR="1DD29868" w:rsidP="1DD29868" w:rsidRDefault="1DD29868" w14:paraId="54BDCA8D" w14:textId="3AA5275B">
      <w:pPr>
        <w:ind w:left="720"/>
      </w:pPr>
    </w:p>
    <w:p w:rsidR="1DD29868" w:rsidP="1DD29868" w:rsidRDefault="1DD29868" w14:paraId="7561E2DB" w14:textId="3F7C133C">
      <w:pPr>
        <w:ind w:left="720"/>
      </w:pPr>
    </w:p>
    <w:p w:rsidR="1DD29868" w:rsidP="1DD29868" w:rsidRDefault="1DD29868" w14:paraId="56FD7EB6" w14:textId="66DDD844">
      <w:pPr>
        <w:ind w:left="720"/>
      </w:pPr>
    </w:p>
    <w:p w:rsidR="1DD29868" w:rsidP="1DD29868" w:rsidRDefault="1DD29868" w14:paraId="751A1C2E" w14:textId="7DD6412C">
      <w:pPr>
        <w:ind w:left="720"/>
      </w:pPr>
    </w:p>
    <w:p w:rsidR="1DD29868" w:rsidP="1DD29868" w:rsidRDefault="1DD29868" w14:paraId="0F1238AF" w14:textId="48E799FA">
      <w:pPr>
        <w:ind w:left="720"/>
      </w:pPr>
    </w:p>
    <w:p w:rsidR="1DD29868" w:rsidP="1DD29868" w:rsidRDefault="1DD29868" w14:paraId="46A02D34" w14:textId="638488B2">
      <w:pPr>
        <w:ind w:left="720"/>
      </w:pPr>
    </w:p>
    <w:p w:rsidR="1DD29868" w:rsidP="1DD29868" w:rsidRDefault="1DD29868" w14:paraId="5A804D9A" w14:textId="5B795FDA">
      <w:pPr>
        <w:ind w:left="720"/>
      </w:pPr>
    </w:p>
    <w:p w:rsidR="004279CA" w:rsidP="009E5889" w:rsidRDefault="004279CA" w14:paraId="70A1CC68" w14:textId="1BD0E19B">
      <w:pPr>
        <w:pStyle w:val="ListParagraph"/>
        <w:numPr>
          <w:ilvl w:val="0"/>
          <w:numId w:val="6"/>
        </w:numPr>
      </w:pPr>
      <w:r>
        <w:t>Use Case</w:t>
      </w:r>
      <w:r w:rsidR="00A20BF4">
        <w:t xml:space="preserve">  </w:t>
      </w:r>
    </w:p>
    <w:p w:rsidR="00A20BF4" w:rsidP="00A20BF4" w:rsidRDefault="009E5889" w14:paraId="37EB598C" w14:textId="455CDC05">
      <w:pPr>
        <w:ind w:firstLine="720"/>
      </w:pPr>
      <w:r>
        <w:t>7</w:t>
      </w:r>
      <w:r w:rsidR="004279CA">
        <w:t>.2</w:t>
      </w:r>
    </w:p>
    <w:p w:rsidRPr="00B37CA3" w:rsidR="004279CA" w:rsidP="00A20BF4" w:rsidRDefault="004279CA" w14:paraId="2F02676C" w14:textId="51541724">
      <w:pPr>
        <w:pStyle w:val="ListParagraph"/>
        <w:numPr>
          <w:ilvl w:val="1"/>
          <w:numId w:val="2"/>
        </w:numPr>
      </w:pPr>
      <w:r>
        <w:t xml:space="preserve">The role of the </w:t>
      </w:r>
      <w:proofErr w:type="spellStart"/>
      <w:r>
        <w:t>AEOBRequestTemplate</w:t>
      </w:r>
      <w:proofErr w:type="spellEnd"/>
      <w:r>
        <w:t xml:space="preserve"> is confusing based on the assumption that how providers create the GFE is out of scope.</w:t>
      </w:r>
    </w:p>
    <w:p w:rsidR="689841D6" w:rsidP="1DD29868" w:rsidRDefault="689841D6" w14:paraId="03CA2947" w14:textId="599582E6">
      <w:pPr>
        <w:ind w:left="720" w:firstLine="720"/>
        <w:rPr>
          <w:color w:val="FF0000"/>
        </w:rPr>
      </w:pPr>
      <w:r w:rsidRPr="28C972C2" w:rsidR="689841D6">
        <w:rPr>
          <w:color w:val="FF0000"/>
        </w:rPr>
        <w:t xml:space="preserve">OK, I see. We will do a better job to explain this. </w:t>
      </w:r>
      <w:r>
        <w:tab/>
      </w:r>
    </w:p>
    <w:p w:rsidRPr="00B37CA3" w:rsidR="004279CA" w:rsidP="004279CA" w:rsidRDefault="004279CA" w14:paraId="7609E4C5" w14:textId="4BA822A0">
      <w:pPr>
        <w:pStyle w:val="ListParagraph"/>
        <w:numPr>
          <w:ilvl w:val="1"/>
          <w:numId w:val="2"/>
        </w:numPr>
      </w:pPr>
      <w:r>
        <w:t xml:space="preserve">Why is </w:t>
      </w:r>
      <w:proofErr w:type="spellStart"/>
      <w:r>
        <w:t>PlanNet</w:t>
      </w:r>
      <w:proofErr w:type="spellEnd"/>
      <w:r>
        <w:t xml:space="preserve"> required?  The law does not require validation of the providers contact information.  </w:t>
      </w:r>
    </w:p>
    <w:p w:rsidR="6BC4707B" w:rsidP="28C972C2" w:rsidRDefault="6BC4707B" w14:paraId="59E32267" w14:textId="2905D018">
      <w:pPr>
        <w:ind w:left="720" w:firstLine="720"/>
        <w:rPr>
          <w:color w:val="FF0000"/>
        </w:rPr>
      </w:pPr>
      <w:r w:rsidRPr="28C972C2" w:rsidR="6BC4707B">
        <w:rPr>
          <w:color w:val="FF0000"/>
        </w:rPr>
        <w:t>Right</w:t>
      </w:r>
      <w:r w:rsidRPr="28C972C2" w:rsidR="6BC4707B">
        <w:rPr>
          <w:color w:val="FF0000"/>
        </w:rPr>
        <w:t xml:space="preserve"> it is not required. We can add text to make that clear. </w:t>
      </w:r>
    </w:p>
    <w:p w:rsidRPr="00B37CA3" w:rsidR="004279CA" w:rsidP="004279CA" w:rsidRDefault="004279CA" w14:paraId="4A50B32F" w14:textId="3C302E93">
      <w:pPr>
        <w:pStyle w:val="ListParagraph"/>
        <w:numPr>
          <w:ilvl w:val="1"/>
          <w:numId w:val="2"/>
        </w:numPr>
      </w:pPr>
      <w:r>
        <w:t xml:space="preserve">When referencing a Provider ID (PID), </w:t>
      </w:r>
      <w:r w:rsidR="00192E3B">
        <w:t xml:space="preserve">recommend using </w:t>
      </w:r>
      <w:r>
        <w:t>NPI</w:t>
      </w:r>
      <w:r w:rsidR="00192E3B">
        <w:t xml:space="preserve"> instead of Provider ID for specificity. </w:t>
      </w:r>
      <w:r w:rsidR="0059522F">
        <w:t>Using NPI aligns with the use of claim</w:t>
      </w:r>
      <w:r w:rsidR="0085335E">
        <w:t>s submission standards and payers</w:t>
      </w:r>
      <w:r w:rsidR="0059522F">
        <w:t xml:space="preserve"> may use additional logic where needed to supplement use of NPI to reference specific providers.</w:t>
      </w:r>
    </w:p>
    <w:p w:rsidR="41FA1713" w:rsidP="28C972C2" w:rsidRDefault="41FA1713" w14:paraId="4D6968C7" w14:textId="13978550">
      <w:pPr>
        <w:ind w:left="720" w:firstLine="720"/>
        <w:rPr>
          <w:color w:val="FF0000"/>
        </w:rPr>
      </w:pPr>
      <w:r w:rsidRPr="28C972C2" w:rsidR="41FA1713">
        <w:rPr>
          <w:color w:val="FF0000"/>
        </w:rPr>
        <w:t xml:space="preserve">Right, good point. We will make that change. I think we meant to make that change and </w:t>
      </w:r>
      <w:r>
        <w:tab/>
      </w:r>
      <w:r w:rsidRPr="28C972C2" w:rsidR="41FA1713">
        <w:rPr>
          <w:color w:val="FF0000"/>
        </w:rPr>
        <w:t xml:space="preserve">missed it. </w:t>
      </w:r>
    </w:p>
    <w:p w:rsidR="1DD29868" w:rsidP="1DD29868" w:rsidRDefault="1DD29868" w14:paraId="3B7E9D25" w14:textId="44A780A9">
      <w:pPr>
        <w:ind w:left="720"/>
      </w:pPr>
    </w:p>
    <w:p w:rsidR="1DD29868" w:rsidP="1DD29868" w:rsidRDefault="1DD29868" w14:paraId="5204937F" w14:textId="68DA05F4">
      <w:pPr>
        <w:ind w:left="720"/>
      </w:pPr>
    </w:p>
    <w:p w:rsidR="1DD29868" w:rsidP="1DD29868" w:rsidRDefault="1DD29868" w14:paraId="7A3ADC4B" w14:textId="6AA262BA">
      <w:pPr>
        <w:ind w:left="720"/>
      </w:pPr>
    </w:p>
    <w:p w:rsidR="1DD29868" w:rsidP="1DD29868" w:rsidRDefault="1DD29868" w14:paraId="0AB06C63" w14:textId="2ECDB09B">
      <w:pPr>
        <w:ind w:left="720"/>
      </w:pPr>
    </w:p>
    <w:p w:rsidR="1DD29868" w:rsidP="1DD29868" w:rsidRDefault="1DD29868" w14:paraId="6C364112" w14:textId="6404F8AF">
      <w:pPr>
        <w:ind w:left="720"/>
      </w:pPr>
    </w:p>
    <w:p w:rsidR="1DD29868" w:rsidP="1DD29868" w:rsidRDefault="1DD29868" w14:paraId="2F7D2098" w14:textId="387726A9">
      <w:pPr>
        <w:ind w:left="720"/>
      </w:pPr>
    </w:p>
    <w:p w:rsidR="1DD29868" w:rsidP="1DD29868" w:rsidRDefault="1DD29868" w14:paraId="4C3D37A0" w14:textId="511734F9">
      <w:pPr>
        <w:ind w:left="720"/>
      </w:pPr>
    </w:p>
    <w:p w:rsidR="1DD29868" w:rsidP="1DD29868" w:rsidRDefault="1DD29868" w14:paraId="454376BF" w14:textId="40B8C7CF">
      <w:pPr>
        <w:ind w:left="720"/>
      </w:pPr>
    </w:p>
    <w:p w:rsidR="1DD29868" w:rsidP="1DD29868" w:rsidRDefault="1DD29868" w14:paraId="3C70F971" w14:textId="5B50AF28">
      <w:pPr>
        <w:ind w:left="720"/>
      </w:pPr>
    </w:p>
    <w:p w:rsidR="1DD29868" w:rsidP="1DD29868" w:rsidRDefault="1DD29868" w14:paraId="0B565176" w14:textId="1058FF52">
      <w:pPr>
        <w:ind w:left="720"/>
      </w:pPr>
    </w:p>
    <w:p w:rsidR="1DD29868" w:rsidP="1DD29868" w:rsidRDefault="1DD29868" w14:paraId="4DC71FE1" w14:textId="2FE7D247">
      <w:pPr>
        <w:ind w:left="720"/>
      </w:pPr>
    </w:p>
    <w:p w:rsidR="1DD29868" w:rsidP="1DD29868" w:rsidRDefault="1DD29868" w14:paraId="6926A61C" w14:textId="044BBB19">
      <w:pPr>
        <w:ind w:left="720"/>
      </w:pPr>
    </w:p>
    <w:p w:rsidR="1DD29868" w:rsidP="1DD29868" w:rsidRDefault="1DD29868" w14:paraId="5572D16F" w14:textId="531910F8">
      <w:pPr>
        <w:ind w:left="720"/>
      </w:pPr>
    </w:p>
    <w:p w:rsidR="1DD29868" w:rsidP="1DD29868" w:rsidRDefault="1DD29868" w14:paraId="0687DCC9" w14:textId="229FD8FA">
      <w:pPr>
        <w:ind w:left="720"/>
      </w:pPr>
    </w:p>
    <w:p w:rsidR="1DD29868" w:rsidP="1DD29868" w:rsidRDefault="1DD29868" w14:paraId="24F731F4" w14:textId="0148EC48">
      <w:pPr>
        <w:ind w:left="720"/>
      </w:pPr>
    </w:p>
    <w:p w:rsidR="1DD29868" w:rsidP="1DD29868" w:rsidRDefault="1DD29868" w14:paraId="2EA7F37C" w14:textId="2604820F">
      <w:pPr>
        <w:ind w:left="720"/>
      </w:pPr>
    </w:p>
    <w:p w:rsidRPr="00192E3B" w:rsidR="00192E3B" w:rsidP="00192E3B" w:rsidRDefault="00192E3B" w14:paraId="015CB16B" w14:textId="766B2F67">
      <w:pPr>
        <w:ind w:left="1080"/>
        <w:rPr>
          <w:b/>
          <w:bCs/>
        </w:rPr>
      </w:pPr>
      <w:r w:rsidRPr="00192E3B">
        <w:rPr>
          <w:rFonts w:ascii="Verdana" w:hAnsi="Verdana"/>
          <w:b/>
          <w:bCs/>
          <w:color w:val="333333"/>
          <w:sz w:val="18"/>
          <w:szCs w:val="18"/>
          <w:shd w:val="clear" w:color="auto" w:fill="FFFFFF"/>
        </w:rPr>
        <w:t xml:space="preserve">Note that the No Surprises Act is silent on payers providing any status, </w:t>
      </w:r>
      <w:proofErr w:type="gramStart"/>
      <w:r w:rsidRPr="00192E3B">
        <w:rPr>
          <w:rFonts w:ascii="Verdana" w:hAnsi="Verdana"/>
          <w:b/>
          <w:bCs/>
          <w:color w:val="333333"/>
          <w:sz w:val="18"/>
          <w:szCs w:val="18"/>
          <w:shd w:val="clear" w:color="auto" w:fill="FFFFFF"/>
        </w:rPr>
        <w:t>validation</w:t>
      </w:r>
      <w:proofErr w:type="gramEnd"/>
      <w:r w:rsidRPr="00192E3B">
        <w:rPr>
          <w:rFonts w:ascii="Verdana" w:hAnsi="Verdana"/>
          <w:b/>
          <w:bCs/>
          <w:color w:val="333333"/>
          <w:sz w:val="18"/>
          <w:szCs w:val="18"/>
          <w:shd w:val="clear" w:color="auto" w:fill="FFFFFF"/>
        </w:rPr>
        <w:t xml:space="preserve"> or error messages back to the provider</w:t>
      </w:r>
      <w:r>
        <w:rPr>
          <w:rFonts w:ascii="Verdana" w:hAnsi="Verdana"/>
          <w:b/>
          <w:bCs/>
          <w:color w:val="333333"/>
          <w:sz w:val="18"/>
          <w:szCs w:val="18"/>
          <w:shd w:val="clear" w:color="auto" w:fill="FFFFFF"/>
        </w:rPr>
        <w:t>.</w:t>
      </w:r>
      <w:r w:rsidR="00B37CA3">
        <w:rPr>
          <w:rFonts w:ascii="Verdana" w:hAnsi="Verdana"/>
          <w:b/>
          <w:bCs/>
          <w:color w:val="333333"/>
          <w:sz w:val="18"/>
          <w:szCs w:val="18"/>
          <w:shd w:val="clear" w:color="auto" w:fill="FFFFFF"/>
        </w:rPr>
        <w:t xml:space="preserve"> Other than those required by FHIR, these should be optional services</w:t>
      </w:r>
      <w:r w:rsidR="0034038F">
        <w:rPr>
          <w:rFonts w:ascii="Verdana" w:hAnsi="Verdana"/>
          <w:b/>
          <w:bCs/>
          <w:color w:val="333333"/>
          <w:sz w:val="18"/>
          <w:szCs w:val="18"/>
          <w:shd w:val="clear" w:color="auto" w:fill="FFFFFF"/>
        </w:rPr>
        <w:t xml:space="preserve">  </w:t>
      </w:r>
    </w:p>
    <w:p w:rsidR="004279CA" w:rsidP="004279CA" w:rsidRDefault="005934D4" w14:paraId="65DAB844" w14:textId="767C2942">
      <w:pPr>
        <w:pStyle w:val="ListParagraph"/>
        <w:numPr>
          <w:ilvl w:val="1"/>
          <w:numId w:val="2"/>
        </w:numPr>
      </w:pPr>
      <w:r>
        <w:t>Re: ‘</w:t>
      </w:r>
      <w:r>
        <w:rPr>
          <w:rFonts w:ascii="Verdana" w:hAnsi="Verdana"/>
          <w:color w:val="333333"/>
          <w:sz w:val="18"/>
          <w:szCs w:val="18"/>
          <w:shd w:val="clear" w:color="auto" w:fill="FFFFFF"/>
        </w:rPr>
        <w:t xml:space="preserve">The Payer AEOB Processor returns the </w:t>
      </w:r>
      <w:proofErr w:type="spellStart"/>
      <w:r>
        <w:rPr>
          <w:rFonts w:ascii="Verdana" w:hAnsi="Verdana"/>
          <w:color w:val="333333"/>
          <w:sz w:val="18"/>
          <w:szCs w:val="18"/>
          <w:shd w:val="clear" w:color="auto" w:fill="FFFFFF"/>
        </w:rPr>
        <w:t>AEOBResponseID</w:t>
      </w:r>
      <w:proofErr w:type="spellEnd"/>
      <w:r>
        <w:rPr>
          <w:rFonts w:ascii="Verdana" w:hAnsi="Verdana"/>
          <w:color w:val="333333"/>
          <w:sz w:val="18"/>
          <w:szCs w:val="18"/>
          <w:shd w:val="clear" w:color="auto" w:fill="FFFFFF"/>
        </w:rPr>
        <w:t xml:space="preserve"> which is the unique identifier that can be used to check the </w:t>
      </w:r>
      <w:proofErr w:type="gramStart"/>
      <w:r>
        <w:rPr>
          <w:rFonts w:ascii="Verdana" w:hAnsi="Verdana"/>
          <w:color w:val="333333"/>
          <w:sz w:val="18"/>
          <w:szCs w:val="18"/>
          <w:shd w:val="clear" w:color="auto" w:fill="FFFFFF"/>
        </w:rPr>
        <w:t>status</w:t>
      </w:r>
      <w:r>
        <w:t>’</w:t>
      </w:r>
      <w:proofErr w:type="gramEnd"/>
      <w:r>
        <w:t xml:space="preserve"> by what mechanism is the status checked?</w:t>
      </w:r>
    </w:p>
    <w:p w:rsidR="33253BA2" w:rsidP="28C972C2" w:rsidRDefault="33253BA2" w14:paraId="48683B11" w14:textId="24A9F400">
      <w:pPr>
        <w:ind w:left="720" w:firstLine="720"/>
        <w:rPr>
          <w:color w:val="FF0000"/>
        </w:rPr>
      </w:pPr>
      <w:r w:rsidRPr="28C972C2" w:rsidR="33253BA2">
        <w:rPr>
          <w:color w:val="FF0000"/>
        </w:rPr>
        <w:t xml:space="preserve">This </w:t>
      </w:r>
      <w:r w:rsidRPr="28C972C2" w:rsidR="37529E2D">
        <w:rPr>
          <w:rFonts w:ascii="Calibri" w:hAnsi="Calibri" w:eastAsia="Calibri" w:cs="Calibri"/>
          <w:color w:val="FF0000"/>
        </w:rPr>
        <w:t xml:space="preserve">mechanism </w:t>
      </w:r>
      <w:r w:rsidRPr="28C972C2" w:rsidR="33253BA2">
        <w:rPr>
          <w:color w:val="FF0000"/>
        </w:rPr>
        <w:t>will be added to the IG</w:t>
      </w:r>
      <w:r w:rsidRPr="28C972C2" w:rsidR="7E5907ED">
        <w:rPr>
          <w:color w:val="FF0000"/>
        </w:rPr>
        <w:t xml:space="preserve"> soon</w:t>
      </w:r>
      <w:r w:rsidRPr="28C972C2" w:rsidR="33253BA2">
        <w:rPr>
          <w:color w:val="FF0000"/>
        </w:rPr>
        <w:t>.</w:t>
      </w:r>
      <w:r w:rsidRPr="28C972C2" w:rsidR="12EDA743">
        <w:rPr>
          <w:color w:val="FF0000"/>
        </w:rPr>
        <w:t xml:space="preserve"> </w:t>
      </w:r>
    </w:p>
    <w:p w:rsidR="1DD29868" w:rsidP="1DD29868" w:rsidRDefault="1DD29868" w14:paraId="02442699" w14:textId="4D1C7AE5">
      <w:pPr>
        <w:ind w:left="720"/>
      </w:pPr>
    </w:p>
    <w:p w:rsidRPr="00B37CA3" w:rsidR="005934D4" w:rsidP="004279CA" w:rsidRDefault="005934D4" w14:paraId="3F55F3E6" w14:textId="28C01310">
      <w:pPr>
        <w:pStyle w:val="ListParagraph"/>
        <w:numPr>
          <w:ilvl w:val="1"/>
          <w:numId w:val="2"/>
        </w:numPr>
      </w:pPr>
      <w:r>
        <w:t>Re: ‘</w:t>
      </w:r>
      <w:r>
        <w:rPr>
          <w:rFonts w:ascii="Verdana" w:hAnsi="Verdana"/>
          <w:color w:val="333333"/>
          <w:sz w:val="18"/>
          <w:szCs w:val="18"/>
          <w:shd w:val="clear" w:color="auto" w:fill="FFFFFF"/>
        </w:rPr>
        <w:t>a list of return addresses (e.g., email, text) specifying where to send notifications that the AEOB is ready as well as other status information.’  Why is email and text introduced?  If this is a feature, shouldn’t they be FHIR transactions?</w:t>
      </w:r>
      <w:r w:rsidR="0059522F">
        <w:rPr>
          <w:rFonts w:ascii="Verdana" w:hAnsi="Verdana"/>
          <w:color w:val="333333"/>
          <w:sz w:val="18"/>
          <w:szCs w:val="18"/>
          <w:shd w:val="clear" w:color="auto" w:fill="FFFFFF"/>
        </w:rPr>
        <w:t xml:space="preserve"> </w:t>
      </w:r>
      <w:r w:rsidRPr="00B37CA3" w:rsidR="0059522F">
        <w:rPr>
          <w:rFonts w:ascii="Verdana" w:hAnsi="Verdana"/>
          <w:sz w:val="18"/>
          <w:szCs w:val="18"/>
          <w:shd w:val="clear" w:color="auto" w:fill="FFFFFF"/>
        </w:rPr>
        <w:t>Is it better to address the inbound information format as FHIR to clarify subsequent notifications?</w:t>
      </w:r>
    </w:p>
    <w:p w:rsidR="5697FF3C" w:rsidP="28C972C2" w:rsidRDefault="065FCF18" w14:paraId="54ADE0C9" w14:textId="12F08995">
      <w:pPr>
        <w:ind w:left="720" w:firstLine="720"/>
        <w:rPr>
          <w:rFonts w:ascii="Verdana" w:hAnsi="Verdana"/>
          <w:color w:val="FF0000"/>
          <w:sz w:val="18"/>
          <w:szCs w:val="18"/>
        </w:rPr>
      </w:pPr>
      <w:r w:rsidRPr="28C972C2" w:rsidR="065FCF18">
        <w:rPr>
          <w:rFonts w:ascii="Verdana" w:hAnsi="Verdana"/>
          <w:color w:val="FF0000"/>
          <w:sz w:val="18"/>
          <w:szCs w:val="18"/>
        </w:rPr>
        <w:t xml:space="preserve">We agree this area needs more work. We will review this. </w:t>
      </w:r>
    </w:p>
    <w:p w:rsidR="1DD29868" w:rsidP="1DD29868" w:rsidRDefault="1DD29868" w14:paraId="6150185A" w14:textId="51633322">
      <w:pPr>
        <w:rPr>
          <w:rFonts w:ascii="Verdana" w:hAnsi="Verdana"/>
          <w:sz w:val="18"/>
          <w:szCs w:val="18"/>
        </w:rPr>
      </w:pPr>
    </w:p>
    <w:p w:rsidRPr="00276D1E" w:rsidR="005934D4" w:rsidP="004279CA" w:rsidRDefault="005934D4" w14:paraId="0EDA3301" w14:textId="73434FE3">
      <w:pPr>
        <w:pStyle w:val="ListParagraph"/>
        <w:numPr>
          <w:ilvl w:val="1"/>
          <w:numId w:val="2"/>
        </w:numPr>
      </w:pPr>
      <w:r>
        <w:rPr>
          <w:rFonts w:ascii="Verdana" w:hAnsi="Verdana"/>
          <w:color w:val="333333"/>
          <w:sz w:val="18"/>
          <w:szCs w:val="18"/>
          <w:shd w:val="clear" w:color="auto" w:fill="FFFFFF"/>
        </w:rPr>
        <w:t xml:space="preserve">RE: ‘The provider customizes the </w:t>
      </w:r>
      <w:proofErr w:type="spellStart"/>
      <w:r>
        <w:rPr>
          <w:rFonts w:ascii="Verdana" w:hAnsi="Verdana"/>
          <w:color w:val="333333"/>
          <w:sz w:val="18"/>
          <w:szCs w:val="18"/>
          <w:shd w:val="clear" w:color="auto" w:fill="FFFFFF"/>
        </w:rPr>
        <w:t>AEOBRequestTemplate</w:t>
      </w:r>
      <w:proofErr w:type="spellEnd"/>
      <w:r>
        <w:rPr>
          <w:rFonts w:ascii="Verdana" w:hAnsi="Verdana"/>
          <w:color w:val="333333"/>
          <w:sz w:val="18"/>
          <w:szCs w:val="18"/>
          <w:shd w:val="clear" w:color="auto" w:fill="FFFFFF"/>
        </w:rPr>
        <w:t xml:space="preserve"> by editing the template and adding the specific information for this patient, including the dates and </w:t>
      </w:r>
      <w:r w:rsidRPr="005934D4">
        <w:rPr>
          <w:rFonts w:ascii="Verdana" w:hAnsi="Verdana"/>
          <w:color w:val="333333"/>
          <w:sz w:val="18"/>
          <w:szCs w:val="18"/>
          <w:shd w:val="clear" w:color="auto" w:fill="FFFFFF"/>
        </w:rPr>
        <w:t xml:space="preserve">location of the </w:t>
      </w:r>
      <w:proofErr w:type="gramStart"/>
      <w:r w:rsidRPr="005934D4">
        <w:rPr>
          <w:rFonts w:ascii="Verdana" w:hAnsi="Verdana"/>
          <w:color w:val="333333"/>
          <w:sz w:val="18"/>
          <w:szCs w:val="18"/>
          <w:shd w:val="clear" w:color="auto" w:fill="FFFFFF"/>
        </w:rPr>
        <w:t>services’</w:t>
      </w:r>
      <w:proofErr w:type="gramEnd"/>
      <w:r w:rsidR="00B37CA3">
        <w:rPr>
          <w:rFonts w:ascii="Verdana" w:hAnsi="Verdana"/>
          <w:color w:val="333333"/>
          <w:sz w:val="18"/>
          <w:szCs w:val="18"/>
          <w:shd w:val="clear" w:color="auto" w:fill="FFFFFF"/>
        </w:rPr>
        <w:t>. T</w:t>
      </w:r>
      <w:r>
        <w:rPr>
          <w:rFonts w:ascii="Verdana" w:hAnsi="Verdana"/>
          <w:color w:val="333333"/>
          <w:sz w:val="18"/>
          <w:szCs w:val="18"/>
          <w:shd w:val="clear" w:color="auto" w:fill="FFFFFF"/>
        </w:rPr>
        <w:t xml:space="preserve">his is </w:t>
      </w:r>
      <w:proofErr w:type="gramStart"/>
      <w:r>
        <w:rPr>
          <w:rFonts w:ascii="Verdana" w:hAnsi="Verdana"/>
          <w:color w:val="333333"/>
          <w:sz w:val="18"/>
          <w:szCs w:val="18"/>
          <w:shd w:val="clear" w:color="auto" w:fill="FFFFFF"/>
        </w:rPr>
        <w:t>unclear</w:t>
      </w:r>
      <w:r w:rsidR="00A026CF">
        <w:rPr>
          <w:rFonts w:ascii="Verdana" w:hAnsi="Verdana"/>
          <w:color w:val="333333"/>
          <w:sz w:val="18"/>
          <w:szCs w:val="18"/>
          <w:shd w:val="clear" w:color="auto" w:fill="FFFFFF"/>
        </w:rPr>
        <w:t>..</w:t>
      </w:r>
      <w:proofErr w:type="gramEnd"/>
      <w:r w:rsidR="00A026CF">
        <w:rPr>
          <w:rFonts w:ascii="Verdana" w:hAnsi="Verdana"/>
          <w:color w:val="333333"/>
          <w:sz w:val="18"/>
          <w:szCs w:val="18"/>
          <w:shd w:val="clear" w:color="auto" w:fill="FFFFFF"/>
        </w:rPr>
        <w:t xml:space="preserve"> is the intent to provide the specific services for the patient, including services expected to be provided by other providers, to include the expected charges, billing codes and other diagnostic codes?</w:t>
      </w:r>
      <w:r w:rsidR="00276D1E">
        <w:rPr>
          <w:rFonts w:ascii="Verdana" w:hAnsi="Verdana"/>
          <w:color w:val="333333"/>
          <w:sz w:val="18"/>
          <w:szCs w:val="18"/>
          <w:shd w:val="clear" w:color="auto" w:fill="FFFFFF"/>
        </w:rPr>
        <w:t xml:space="preserve">  </w:t>
      </w:r>
    </w:p>
    <w:p w:rsidR="227109A8" w:rsidP="28C972C2" w:rsidRDefault="227109A8" w14:paraId="683C1AB1" w14:textId="7BB2BD10">
      <w:pPr>
        <w:ind w:left="1440"/>
        <w:rPr>
          <w:rFonts w:ascii="Verdana" w:hAnsi="Verdana"/>
          <w:color w:val="FF0000"/>
          <w:sz w:val="18"/>
          <w:szCs w:val="18"/>
        </w:rPr>
      </w:pPr>
      <w:r w:rsidRPr="28C972C2" w:rsidR="227109A8">
        <w:rPr>
          <w:rFonts w:ascii="Verdana" w:hAnsi="Verdana"/>
          <w:color w:val="FF0000"/>
          <w:sz w:val="18"/>
          <w:szCs w:val="18"/>
        </w:rPr>
        <w:t xml:space="preserve">The </w:t>
      </w:r>
      <w:proofErr w:type="spellStart"/>
      <w:r w:rsidRPr="28C972C2" w:rsidR="227109A8">
        <w:rPr>
          <w:rFonts w:ascii="Verdana" w:hAnsi="Verdana"/>
          <w:color w:val="FF0000"/>
          <w:sz w:val="18"/>
          <w:szCs w:val="18"/>
        </w:rPr>
        <w:t>AEOBRequestTemplate</w:t>
      </w:r>
      <w:proofErr w:type="spellEnd"/>
      <w:r w:rsidRPr="28C972C2" w:rsidR="227109A8">
        <w:rPr>
          <w:rFonts w:ascii="Verdana" w:hAnsi="Verdana"/>
          <w:color w:val="FF0000"/>
          <w:sz w:val="18"/>
          <w:szCs w:val="18"/>
        </w:rPr>
        <w:t xml:space="preserve"> is not required to be conformant with this IG. </w:t>
      </w:r>
      <w:r w:rsidRPr="28C972C2" w:rsidR="259D384D">
        <w:rPr>
          <w:rFonts w:ascii="Verdana" w:hAnsi="Verdana"/>
          <w:color w:val="FF0000"/>
          <w:sz w:val="18"/>
          <w:szCs w:val="18"/>
        </w:rPr>
        <w:t>But we can</w:t>
      </w:r>
      <w:r>
        <w:tab/>
      </w:r>
      <w:r w:rsidRPr="28C972C2" w:rsidR="7F0D46A3">
        <w:rPr>
          <w:rFonts w:ascii="Verdana" w:hAnsi="Verdana"/>
          <w:color w:val="FF0000"/>
          <w:sz w:val="18"/>
          <w:szCs w:val="18"/>
        </w:rPr>
        <w:t>t</w:t>
      </w:r>
      <w:r w:rsidRPr="28C972C2" w:rsidR="259D384D">
        <w:rPr>
          <w:rFonts w:ascii="Verdana" w:hAnsi="Verdana"/>
          <w:color w:val="FF0000"/>
          <w:sz w:val="18"/>
          <w:szCs w:val="18"/>
        </w:rPr>
        <w:t xml:space="preserve">ry to add more text/clarity here. </w:t>
      </w:r>
    </w:p>
    <w:p w:rsidR="1DD29868" w:rsidP="1DD29868" w:rsidRDefault="1DD29868" w14:paraId="65B20D72" w14:textId="15DC6630">
      <w:pPr>
        <w:rPr>
          <w:rFonts w:ascii="Verdana" w:hAnsi="Verdana"/>
          <w:color w:val="333333"/>
          <w:sz w:val="18"/>
          <w:szCs w:val="18"/>
        </w:rPr>
      </w:pPr>
    </w:p>
    <w:p w:rsidRPr="00276D1E" w:rsidR="00276D1E" w:rsidP="004279CA" w:rsidRDefault="00276D1E" w14:paraId="71E0FE88" w14:textId="43C05972">
      <w:pPr>
        <w:pStyle w:val="ListParagraph"/>
        <w:numPr>
          <w:ilvl w:val="1"/>
          <w:numId w:val="2"/>
        </w:numPr>
      </w:pPr>
      <w:r>
        <w:rPr>
          <w:rFonts w:ascii="Verdana" w:hAnsi="Verdana"/>
          <w:color w:val="333333"/>
          <w:sz w:val="18"/>
          <w:szCs w:val="18"/>
          <w:shd w:val="clear" w:color="auto" w:fill="FFFFFF"/>
        </w:rPr>
        <w:t>‘</w:t>
      </w:r>
      <w:proofErr w:type="gramStart"/>
      <w:r>
        <w:rPr>
          <w:rFonts w:ascii="Verdana" w:hAnsi="Verdana"/>
          <w:color w:val="333333"/>
          <w:sz w:val="18"/>
          <w:szCs w:val="18"/>
          <w:shd w:val="clear" w:color="auto" w:fill="FFFFFF"/>
        </w:rPr>
        <w:t>in</w:t>
      </w:r>
      <w:proofErr w:type="gramEnd"/>
      <w:r>
        <w:rPr>
          <w:rFonts w:ascii="Verdana" w:hAnsi="Verdana"/>
          <w:color w:val="333333"/>
          <w:sz w:val="18"/>
          <w:szCs w:val="18"/>
          <w:shd w:val="clear" w:color="auto" w:fill="FFFFFF"/>
        </w:rPr>
        <w:t xml:space="preserve"> case of errors returns a list of errors to the provider along with the Bundle’ how will the errors be returned… via FHIR?  If </w:t>
      </w:r>
      <w:proofErr w:type="gramStart"/>
      <w:r>
        <w:rPr>
          <w:rFonts w:ascii="Verdana" w:hAnsi="Verdana"/>
          <w:color w:val="333333"/>
          <w:sz w:val="18"/>
          <w:szCs w:val="18"/>
          <w:shd w:val="clear" w:color="auto" w:fill="FFFFFF"/>
        </w:rPr>
        <w:t>so</w:t>
      </w:r>
      <w:proofErr w:type="gramEnd"/>
      <w:r>
        <w:rPr>
          <w:rFonts w:ascii="Verdana" w:hAnsi="Verdana"/>
          <w:color w:val="333333"/>
          <w:sz w:val="18"/>
          <w:szCs w:val="18"/>
          <w:shd w:val="clear" w:color="auto" w:fill="FFFFFF"/>
        </w:rPr>
        <w:t xml:space="preserve"> isn’t that another FHIR transaction that should be defined?  What Code System / Value Set will be used to convey the errors … CARC / RARC?  </w:t>
      </w:r>
    </w:p>
    <w:p w:rsidR="618BE7E1" w:rsidP="28C972C2" w:rsidRDefault="7F833FAB" w14:paraId="1D4D65CE" w14:textId="54C52839">
      <w:pPr>
        <w:ind w:left="720" w:firstLine="720"/>
        <w:rPr>
          <w:color w:val="FF0000"/>
        </w:rPr>
      </w:pPr>
      <w:r w:rsidRPr="28C972C2" w:rsidR="7F833FAB">
        <w:rPr>
          <w:color w:val="FF0000"/>
        </w:rPr>
        <w:t xml:space="preserve">Yes, FHIR. </w:t>
      </w:r>
      <w:r w:rsidRPr="28C972C2" w:rsidR="618BE7E1">
        <w:rPr>
          <w:color w:val="FF0000"/>
        </w:rPr>
        <w:t xml:space="preserve">This </w:t>
      </w:r>
      <w:r w:rsidRPr="28C972C2" w:rsidR="440A891F">
        <w:rPr>
          <w:color w:val="FF0000"/>
        </w:rPr>
        <w:t>will be defined</w:t>
      </w:r>
      <w:r w:rsidRPr="28C972C2" w:rsidR="618BE7E1">
        <w:rPr>
          <w:color w:val="FF0000"/>
        </w:rPr>
        <w:t xml:space="preserve"> </w:t>
      </w:r>
      <w:r w:rsidRPr="28C972C2" w:rsidR="0FFA26CF">
        <w:rPr>
          <w:color w:val="FF0000"/>
        </w:rPr>
        <w:t>in a future</w:t>
      </w:r>
      <w:r w:rsidRPr="28C972C2" w:rsidR="618BE7E1">
        <w:rPr>
          <w:color w:val="FF0000"/>
        </w:rPr>
        <w:t xml:space="preserve"> IG</w:t>
      </w:r>
      <w:r w:rsidRPr="28C972C2" w:rsidR="5F7693CB">
        <w:rPr>
          <w:color w:val="FF0000"/>
        </w:rPr>
        <w:t xml:space="preserve"> update</w:t>
      </w:r>
      <w:r w:rsidRPr="28C972C2" w:rsidR="618BE7E1">
        <w:rPr>
          <w:color w:val="FF0000"/>
        </w:rPr>
        <w:t>.</w:t>
      </w:r>
    </w:p>
    <w:p w:rsidR="1DD29868" w:rsidP="1DD29868" w:rsidRDefault="1DD29868" w14:paraId="357A1E5C" w14:textId="6A0ED60E">
      <w:pPr>
        <w:rPr>
          <w:rFonts w:ascii="Verdana" w:hAnsi="Verdana"/>
          <w:color w:val="333333"/>
          <w:sz w:val="18"/>
          <w:szCs w:val="18"/>
        </w:rPr>
      </w:pPr>
    </w:p>
    <w:p w:rsidRPr="00192E3B" w:rsidR="00276D1E" w:rsidP="004279CA" w:rsidRDefault="00276D1E" w14:paraId="5424D75B" w14:textId="4FE884C6">
      <w:pPr>
        <w:pStyle w:val="ListParagraph"/>
        <w:numPr>
          <w:ilvl w:val="1"/>
          <w:numId w:val="2"/>
        </w:numPr>
      </w:pPr>
      <w:r>
        <w:rPr>
          <w:rFonts w:ascii="Verdana" w:hAnsi="Verdana"/>
          <w:color w:val="333333"/>
          <w:sz w:val="18"/>
          <w:szCs w:val="18"/>
          <w:shd w:val="clear" w:color="auto" w:fill="FFFFFF"/>
        </w:rPr>
        <w:t xml:space="preserve">What is the difference between the </w:t>
      </w:r>
      <w:proofErr w:type="spellStart"/>
      <w:r>
        <w:rPr>
          <w:rFonts w:ascii="Verdana" w:hAnsi="Verdana"/>
          <w:color w:val="333333"/>
          <w:sz w:val="18"/>
          <w:szCs w:val="18"/>
          <w:shd w:val="clear" w:color="auto" w:fill="FFFFFF"/>
        </w:rPr>
        <w:t>AEOBResponseID</w:t>
      </w:r>
      <w:proofErr w:type="spellEnd"/>
      <w:r>
        <w:rPr>
          <w:rFonts w:ascii="Verdana" w:hAnsi="Verdana"/>
          <w:color w:val="333333"/>
          <w:sz w:val="18"/>
          <w:szCs w:val="18"/>
          <w:shd w:val="clear" w:color="auto" w:fill="FFFFFF"/>
        </w:rPr>
        <w:t xml:space="preserve"> and the ID Generator?</w:t>
      </w:r>
    </w:p>
    <w:p w:rsidR="0C2659AD" w:rsidP="28C972C2" w:rsidRDefault="0C2659AD" w14:paraId="6CB8EC31" w14:textId="244CBDA8">
      <w:pPr>
        <w:pStyle w:val="Normal"/>
        <w:ind w:left="1440"/>
        <w:rPr>
          <w:rFonts w:ascii="Verdana" w:hAnsi="Verdana"/>
          <w:color w:val="FF0000"/>
          <w:sz w:val="18"/>
          <w:szCs w:val="18"/>
        </w:rPr>
      </w:pPr>
      <w:r w:rsidRPr="28C972C2" w:rsidR="0C2659AD">
        <w:rPr>
          <w:rFonts w:ascii="Verdana" w:hAnsi="Verdana"/>
          <w:color w:val="FF0000"/>
          <w:sz w:val="18"/>
          <w:szCs w:val="18"/>
        </w:rPr>
        <w:t xml:space="preserve">The ID Generator </w:t>
      </w:r>
      <w:r w:rsidRPr="28C972C2" w:rsidR="4464A87A">
        <w:rPr>
          <w:rFonts w:ascii="Verdana" w:hAnsi="Verdana"/>
          <w:color w:val="FF0000"/>
          <w:sz w:val="18"/>
          <w:szCs w:val="18"/>
        </w:rPr>
        <w:t>generates</w:t>
      </w:r>
      <w:r w:rsidRPr="28C972C2" w:rsidR="0C2659AD">
        <w:rPr>
          <w:rFonts w:ascii="Verdana" w:hAnsi="Verdana"/>
          <w:color w:val="FF0000"/>
          <w:sz w:val="18"/>
          <w:szCs w:val="18"/>
        </w:rPr>
        <w:t xml:space="preserve"> IDs.</w:t>
      </w:r>
      <w:r w:rsidRPr="28C972C2" w:rsidR="6B6A932B">
        <w:rPr>
          <w:rFonts w:ascii="Verdana" w:hAnsi="Verdana"/>
          <w:color w:val="FF0000"/>
          <w:sz w:val="18"/>
          <w:szCs w:val="18"/>
        </w:rPr>
        <w:t xml:space="preserve"> </w:t>
      </w:r>
      <w:r w:rsidRPr="28C972C2" w:rsidR="74875F2C">
        <w:rPr>
          <w:rFonts w:ascii="Verdana" w:hAnsi="Verdana"/>
          <w:color w:val="FF0000"/>
          <w:sz w:val="18"/>
          <w:szCs w:val="18"/>
        </w:rPr>
        <w:t xml:space="preserve">Note: </w:t>
      </w:r>
      <w:r w:rsidRPr="28C972C2" w:rsidR="002D68FA">
        <w:rPr>
          <w:rFonts w:ascii="Verdana" w:hAnsi="Verdana"/>
          <w:color w:val="FF0000"/>
          <w:sz w:val="18"/>
          <w:szCs w:val="18"/>
        </w:rPr>
        <w:t>T</w:t>
      </w:r>
      <w:r w:rsidRPr="28C972C2" w:rsidR="74875F2C">
        <w:rPr>
          <w:rFonts w:ascii="Verdana" w:hAnsi="Verdana"/>
          <w:color w:val="FF0000"/>
          <w:sz w:val="18"/>
          <w:szCs w:val="18"/>
        </w:rPr>
        <w:t xml:space="preserve">he ID Generator is not required to be </w:t>
      </w:r>
      <w:r>
        <w:tab/>
      </w:r>
      <w:r w:rsidRPr="28C972C2" w:rsidR="70F591DD">
        <w:rPr>
          <w:rFonts w:ascii="Verdana" w:hAnsi="Verdana"/>
          <w:color w:val="FF0000"/>
          <w:sz w:val="18"/>
          <w:szCs w:val="18"/>
        </w:rPr>
        <w:t>conformant</w:t>
      </w:r>
      <w:r w:rsidRPr="28C972C2" w:rsidR="74875F2C">
        <w:rPr>
          <w:rFonts w:ascii="Verdana" w:hAnsi="Verdana"/>
          <w:color w:val="FF0000"/>
          <w:sz w:val="18"/>
          <w:szCs w:val="18"/>
        </w:rPr>
        <w:t xml:space="preserve"> with this IG.</w:t>
      </w:r>
      <w:r w:rsidRPr="28C972C2" w:rsidR="30A7B436">
        <w:rPr>
          <w:rFonts w:ascii="Verdana" w:hAnsi="Verdana"/>
          <w:color w:val="FF0000"/>
          <w:sz w:val="18"/>
          <w:szCs w:val="18"/>
        </w:rPr>
        <w:t xml:space="preserve"> I think we can work on this language to make it more clear.</w:t>
      </w:r>
    </w:p>
    <w:p w:rsidR="41AE72DD" w:rsidP="28C972C2" w:rsidRDefault="41AE72DD" w14:paraId="1292072D" w14:textId="218020BC">
      <w:pPr>
        <w:ind w:left="1440"/>
        <w:rPr>
          <w:rFonts w:ascii="Verdana" w:hAnsi="Verdana"/>
          <w:color w:val="FF0000"/>
          <w:sz w:val="18"/>
          <w:szCs w:val="18"/>
        </w:rPr>
      </w:pPr>
      <w:r w:rsidRPr="28C972C2" w:rsidR="41AE72DD">
        <w:rPr>
          <w:rFonts w:ascii="Verdana" w:hAnsi="Verdana"/>
          <w:color w:val="FF0000"/>
          <w:sz w:val="18"/>
          <w:szCs w:val="18"/>
        </w:rPr>
        <w:t xml:space="preserve">The </w:t>
      </w:r>
      <w:proofErr w:type="spellStart"/>
      <w:r w:rsidRPr="28C972C2" w:rsidR="41AE72DD">
        <w:rPr>
          <w:rFonts w:ascii="Verdana" w:hAnsi="Verdana"/>
          <w:color w:val="FF0000"/>
          <w:sz w:val="18"/>
          <w:szCs w:val="18"/>
        </w:rPr>
        <w:t>AEOBResponseID</w:t>
      </w:r>
      <w:proofErr w:type="spellEnd"/>
      <w:r w:rsidRPr="28C972C2" w:rsidR="41AE72DD">
        <w:rPr>
          <w:rFonts w:ascii="Verdana" w:hAnsi="Verdana"/>
          <w:color w:val="FF0000"/>
          <w:sz w:val="18"/>
          <w:szCs w:val="18"/>
        </w:rPr>
        <w:t xml:space="preserve"> is what is used during the asynchronous response </w:t>
      </w:r>
      <w:r>
        <w:tab/>
      </w:r>
      <w:r w:rsidRPr="28C972C2" w:rsidR="2FF1DC9F">
        <w:rPr>
          <w:rFonts w:ascii="Verdana" w:hAnsi="Verdana"/>
          <w:color w:val="FF0000"/>
          <w:sz w:val="18"/>
          <w:szCs w:val="18"/>
        </w:rPr>
        <w:t xml:space="preserve"> </w:t>
      </w:r>
      <w:r w:rsidRPr="28C972C2" w:rsidR="41AE72DD">
        <w:rPr>
          <w:rFonts w:ascii="Verdana" w:hAnsi="Verdana"/>
          <w:color w:val="FF0000"/>
          <w:sz w:val="18"/>
          <w:szCs w:val="18"/>
        </w:rPr>
        <w:t xml:space="preserve">         from the payer system.</w:t>
      </w:r>
    </w:p>
    <w:p w:rsidR="1DD29868" w:rsidP="1DD29868" w:rsidRDefault="1DD29868" w14:paraId="449B1E3C" w14:textId="2B35B88C">
      <w:pPr>
        <w:rPr>
          <w:rFonts w:ascii="Verdana" w:hAnsi="Verdana"/>
          <w:color w:val="333333"/>
          <w:sz w:val="18"/>
          <w:szCs w:val="18"/>
        </w:rPr>
      </w:pPr>
    </w:p>
    <w:p w:rsidRPr="00A20BF4" w:rsidR="00192E3B" w:rsidP="004279CA" w:rsidRDefault="00192E3B" w14:paraId="263A7919" w14:textId="4C8031A0">
      <w:pPr>
        <w:pStyle w:val="ListParagraph"/>
        <w:numPr>
          <w:ilvl w:val="1"/>
          <w:numId w:val="2"/>
        </w:numPr>
      </w:pPr>
      <w:r w:rsidRPr="00192E3B">
        <w:rPr>
          <w:rFonts w:ascii="Verdana" w:hAnsi="Verdana"/>
          <w:color w:val="333333"/>
          <w:sz w:val="18"/>
          <w:szCs w:val="18"/>
          <w:shd w:val="clear" w:color="auto" w:fill="FFFFFF"/>
        </w:rPr>
        <w:t xml:space="preserve">Re: ‘The payer begins processing the </w:t>
      </w:r>
      <w:proofErr w:type="spellStart"/>
      <w:r w:rsidRPr="00192E3B">
        <w:rPr>
          <w:rFonts w:ascii="Verdana" w:hAnsi="Verdana"/>
          <w:color w:val="333333"/>
          <w:sz w:val="18"/>
          <w:szCs w:val="18"/>
          <w:shd w:val="clear" w:color="auto" w:fill="FFFFFF"/>
        </w:rPr>
        <w:t>AEOBRequestBundle</w:t>
      </w:r>
      <w:proofErr w:type="spellEnd"/>
      <w:r w:rsidRPr="00192E3B">
        <w:rPr>
          <w:rFonts w:ascii="Verdana" w:hAnsi="Verdana"/>
          <w:color w:val="333333"/>
          <w:sz w:val="18"/>
          <w:szCs w:val="18"/>
          <w:shd w:val="clear" w:color="auto" w:fill="FFFFFF"/>
        </w:rPr>
        <w:t xml:space="preserve"> asynchronously and immediately …’   Asynchronously and immediately are contrasting terms… shouldn’t it say ‘</w:t>
      </w:r>
      <w:proofErr w:type="spellStart"/>
      <w:r w:rsidRPr="00192E3B">
        <w:rPr>
          <w:rFonts w:ascii="Verdana" w:hAnsi="Verdana"/>
          <w:color w:val="333333"/>
          <w:sz w:val="18"/>
          <w:szCs w:val="18"/>
          <w:shd w:val="clear" w:color="auto" w:fill="FFFFFF"/>
        </w:rPr>
        <w:t>AEOBRequestBundle</w:t>
      </w:r>
      <w:proofErr w:type="spellEnd"/>
      <w:r w:rsidRPr="00192E3B">
        <w:rPr>
          <w:rFonts w:ascii="Verdana" w:hAnsi="Verdana"/>
          <w:color w:val="333333"/>
          <w:sz w:val="18"/>
          <w:szCs w:val="18"/>
          <w:shd w:val="clear" w:color="auto" w:fill="FFFFFF"/>
        </w:rPr>
        <w:t xml:space="preserve"> asynchronously and upon completion’?</w:t>
      </w:r>
    </w:p>
    <w:p w:rsidR="3891A6DC" w:rsidP="28C972C2" w:rsidRDefault="42246BE5" w14:paraId="5A26B9EE" w14:textId="290B4FF3">
      <w:pPr>
        <w:ind w:left="720" w:firstLine="720"/>
        <w:rPr>
          <w:rFonts w:ascii="Verdana" w:hAnsi="Verdana"/>
          <w:color w:val="FF0000"/>
          <w:sz w:val="18"/>
          <w:szCs w:val="18"/>
        </w:rPr>
      </w:pPr>
      <w:r w:rsidRPr="28C972C2" w:rsidR="42246BE5">
        <w:rPr>
          <w:rFonts w:ascii="Verdana" w:hAnsi="Verdana"/>
          <w:color w:val="FF0000"/>
          <w:sz w:val="18"/>
          <w:szCs w:val="18"/>
        </w:rPr>
        <w:t>Yes,</w:t>
      </w:r>
      <w:r w:rsidRPr="28C972C2" w:rsidR="3891A6DC">
        <w:rPr>
          <w:rFonts w:ascii="Verdana" w:hAnsi="Verdana"/>
          <w:color w:val="FF0000"/>
          <w:sz w:val="18"/>
          <w:szCs w:val="18"/>
        </w:rPr>
        <w:t xml:space="preserve"> I think we can work on this language</w:t>
      </w:r>
      <w:r w:rsidRPr="28C972C2" w:rsidR="22221315">
        <w:rPr>
          <w:rFonts w:ascii="Verdana" w:hAnsi="Verdana"/>
          <w:color w:val="FF0000"/>
          <w:sz w:val="18"/>
          <w:szCs w:val="18"/>
        </w:rPr>
        <w:t xml:space="preserve"> to make it </w:t>
      </w:r>
      <w:r w:rsidRPr="28C972C2" w:rsidR="22221315">
        <w:rPr>
          <w:rFonts w:ascii="Verdana" w:hAnsi="Verdana"/>
          <w:color w:val="FF0000"/>
          <w:sz w:val="18"/>
          <w:szCs w:val="18"/>
        </w:rPr>
        <w:t>more clear</w:t>
      </w:r>
      <w:r w:rsidRPr="28C972C2" w:rsidR="3891A6DC">
        <w:rPr>
          <w:rFonts w:ascii="Verdana" w:hAnsi="Verdana"/>
          <w:color w:val="FF0000"/>
          <w:sz w:val="18"/>
          <w:szCs w:val="18"/>
        </w:rPr>
        <w:t xml:space="preserve">. </w:t>
      </w:r>
    </w:p>
    <w:p w:rsidR="00A20BF4" w:rsidP="00A20BF4" w:rsidRDefault="00B848A3" w14:paraId="31E61ED8" w14:textId="3738C0AF">
      <w:pPr>
        <w:pStyle w:val="ListParagraph"/>
      </w:pPr>
      <w:r>
        <w:t>7</w:t>
      </w:r>
      <w:r w:rsidR="00A20BF4">
        <w:t>.</w:t>
      </w:r>
      <w:r w:rsidR="009B4CD5">
        <w:t>2.1</w:t>
      </w:r>
    </w:p>
    <w:p w:rsidRPr="009B4CD5" w:rsidR="00A20BF4" w:rsidP="00A20BF4" w:rsidRDefault="00A20BF4" w14:paraId="6CFC9B7E" w14:textId="48FAF31A">
      <w:pPr>
        <w:pStyle w:val="ListParagraph"/>
        <w:numPr>
          <w:ilvl w:val="0"/>
          <w:numId w:val="3"/>
        </w:numPr>
      </w:pPr>
      <w:r>
        <w:t>Re ‘</w:t>
      </w:r>
      <w:r>
        <w:rPr>
          <w:rFonts w:ascii="Verdana" w:hAnsi="Verdana"/>
          <w:color w:val="333333"/>
          <w:sz w:val="18"/>
          <w:szCs w:val="18"/>
          <w:shd w:val="clear" w:color="auto" w:fill="FFFFFF"/>
        </w:rPr>
        <w:t xml:space="preserve">The recipient (e.g., patient) is notified (e.g., via email or text)’ – the method by which a payer notifies a patient is defined by the communication preferences defined between the payer and the member.  </w:t>
      </w:r>
    </w:p>
    <w:p w:rsidR="0A01F6C5" w:rsidP="28C972C2" w:rsidRDefault="0A01F6C5" w14:paraId="2C25F10F" w14:textId="1A5DA2FD">
      <w:pPr>
        <w:ind w:left="720" w:firstLine="720"/>
        <w:rPr>
          <w:rFonts w:ascii="Verdana" w:hAnsi="Verdana"/>
          <w:color w:val="FF0000"/>
          <w:sz w:val="18"/>
          <w:szCs w:val="18"/>
        </w:rPr>
      </w:pPr>
      <w:r w:rsidRPr="28C972C2" w:rsidR="0A01F6C5">
        <w:rPr>
          <w:rFonts w:ascii="Verdana" w:hAnsi="Verdana"/>
          <w:color w:val="FF0000"/>
          <w:sz w:val="18"/>
          <w:szCs w:val="18"/>
        </w:rPr>
        <w:t>Is this a question or a comment</w:t>
      </w:r>
      <w:r w:rsidRPr="28C972C2" w:rsidR="6372051B">
        <w:rPr>
          <w:rFonts w:ascii="Verdana" w:hAnsi="Verdana"/>
          <w:color w:val="FF0000"/>
          <w:sz w:val="18"/>
          <w:szCs w:val="18"/>
        </w:rPr>
        <w:t>?</w:t>
      </w:r>
    </w:p>
    <w:p w:rsidR="1DD29868" w:rsidP="1DD29868" w:rsidRDefault="1DD29868" w14:paraId="7F0B175E" w14:textId="52518829">
      <w:pPr>
        <w:rPr>
          <w:rFonts w:ascii="Verdana" w:hAnsi="Verdana"/>
          <w:color w:val="333333"/>
          <w:sz w:val="18"/>
          <w:szCs w:val="18"/>
        </w:rPr>
      </w:pPr>
    </w:p>
    <w:p w:rsidRPr="009B4CD5" w:rsidR="009B4CD5" w:rsidP="00A0616A" w:rsidRDefault="009B4CD5" w14:paraId="5E4D1A24" w14:textId="599652E2">
      <w:pPr>
        <w:pStyle w:val="ListParagraph"/>
        <w:numPr>
          <w:ilvl w:val="0"/>
          <w:numId w:val="3"/>
        </w:numPr>
      </w:pPr>
      <w:r>
        <w:rPr>
          <w:rFonts w:ascii="Verdana" w:hAnsi="Verdana"/>
          <w:color w:val="333333"/>
          <w:sz w:val="18"/>
          <w:szCs w:val="18"/>
          <w:shd w:val="clear" w:color="auto" w:fill="FFFFFF"/>
        </w:rPr>
        <w:t xml:space="preserve">Conveying the AEOB to the patient via a FHIR API should be noted as optional and the </w:t>
      </w:r>
      <w:proofErr w:type="gramStart"/>
      <w:r>
        <w:rPr>
          <w:rFonts w:ascii="Verdana" w:hAnsi="Verdana"/>
          <w:color w:val="333333"/>
          <w:sz w:val="18"/>
          <w:szCs w:val="18"/>
          <w:shd w:val="clear" w:color="auto" w:fill="FFFFFF"/>
        </w:rPr>
        <w:t>work flow</w:t>
      </w:r>
      <w:proofErr w:type="gramEnd"/>
      <w:r>
        <w:rPr>
          <w:rFonts w:ascii="Verdana" w:hAnsi="Verdana"/>
          <w:color w:val="333333"/>
          <w:sz w:val="18"/>
          <w:szCs w:val="18"/>
          <w:shd w:val="clear" w:color="auto" w:fill="FFFFFF"/>
        </w:rPr>
        <w:t xml:space="preserve"> is contingent upon the payer opting to use the API.</w:t>
      </w:r>
    </w:p>
    <w:p w:rsidR="1CC658C0" w:rsidP="1DD29868" w:rsidRDefault="1CC658C0" w14:paraId="1BB5463A" w14:textId="76652AB8">
      <w:pPr>
        <w:ind w:left="720" w:firstLine="720"/>
        <w:rPr>
          <w:rFonts w:ascii="Verdana" w:hAnsi="Verdana"/>
          <w:color w:val="333333"/>
          <w:sz w:val="18"/>
          <w:szCs w:val="18"/>
        </w:rPr>
      </w:pPr>
      <w:r w:rsidRPr="1DD29868">
        <w:rPr>
          <w:rFonts w:ascii="Verdana" w:hAnsi="Verdana"/>
          <w:color w:val="FF0000"/>
          <w:sz w:val="18"/>
          <w:szCs w:val="18"/>
        </w:rPr>
        <w:t xml:space="preserve">“Conveying the AEOB to the patient via a FHIR API should be noted as optional” I think </w:t>
      </w:r>
      <w:r>
        <w:tab/>
      </w:r>
      <w:r w:rsidRPr="1DD29868">
        <w:rPr>
          <w:rFonts w:ascii="Verdana" w:hAnsi="Verdana"/>
          <w:color w:val="FF0000"/>
          <w:sz w:val="18"/>
          <w:szCs w:val="18"/>
        </w:rPr>
        <w:t>this makes sense. We can add this. Thanks</w:t>
      </w:r>
    </w:p>
    <w:p w:rsidR="43CC4371" w:rsidP="28C972C2" w:rsidRDefault="43CC4371" w14:paraId="1A0E9069" w14:textId="5622A326">
      <w:pPr>
        <w:ind w:left="1440"/>
        <w:rPr>
          <w:rFonts w:ascii="Verdana" w:hAnsi="Verdana"/>
          <w:color w:val="FF0000"/>
          <w:sz w:val="18"/>
          <w:szCs w:val="18"/>
        </w:rPr>
      </w:pPr>
      <w:r w:rsidRPr="28C972C2" w:rsidR="43CC4371">
        <w:rPr>
          <w:rFonts w:ascii="Verdana" w:hAnsi="Verdana"/>
          <w:color w:val="FF0000"/>
          <w:sz w:val="18"/>
          <w:szCs w:val="18"/>
        </w:rPr>
        <w:t>“</w:t>
      </w:r>
      <w:r w:rsidRPr="28C972C2" w:rsidR="43CC4371">
        <w:rPr>
          <w:rFonts w:ascii="Verdana" w:hAnsi="Verdana"/>
          <w:color w:val="FF0000"/>
          <w:sz w:val="18"/>
          <w:szCs w:val="18"/>
        </w:rPr>
        <w:t>the</w:t>
      </w:r>
      <w:r w:rsidRPr="28C972C2" w:rsidR="43CC4371">
        <w:rPr>
          <w:rFonts w:ascii="Verdana" w:hAnsi="Verdana"/>
          <w:color w:val="FF0000"/>
          <w:sz w:val="18"/>
          <w:szCs w:val="18"/>
        </w:rPr>
        <w:t xml:space="preserve"> work flow is contingent upon the payer opting to use the API.” This seems </w:t>
      </w:r>
      <w:r w:rsidRPr="28C972C2" w:rsidR="43CC4371">
        <w:rPr>
          <w:rFonts w:ascii="Verdana" w:hAnsi="Verdana"/>
          <w:color w:val="FF0000"/>
          <w:sz w:val="18"/>
          <w:szCs w:val="18"/>
        </w:rPr>
        <w:t xml:space="preserve">somewhat </w:t>
      </w:r>
      <w:r w:rsidRPr="28C972C2" w:rsidR="43CC4371">
        <w:rPr>
          <w:rFonts w:ascii="Verdana" w:hAnsi="Verdana"/>
          <w:color w:val="FF0000"/>
          <w:sz w:val="18"/>
          <w:szCs w:val="18"/>
        </w:rPr>
        <w:t>obvious</w:t>
      </w:r>
      <w:r w:rsidRPr="28C972C2" w:rsidR="43CC4371">
        <w:rPr>
          <w:rFonts w:ascii="Verdana" w:hAnsi="Verdana"/>
          <w:color w:val="FF0000"/>
          <w:sz w:val="18"/>
          <w:szCs w:val="18"/>
        </w:rPr>
        <w:t xml:space="preserve"> but I think we can add this.</w:t>
      </w:r>
    </w:p>
    <w:p w:rsidR="1CC658C0" w:rsidP="1DD29868" w:rsidRDefault="1CC658C0" w14:paraId="02D1881B" w14:textId="53552363">
      <w:pPr>
        <w:rPr>
          <w:rFonts w:ascii="Verdana" w:hAnsi="Verdana"/>
          <w:color w:val="333333"/>
          <w:sz w:val="18"/>
          <w:szCs w:val="18"/>
        </w:rPr>
      </w:pPr>
    </w:p>
    <w:p w:rsidRPr="0043498C" w:rsidR="009B4CD5" w:rsidP="00A20BF4" w:rsidRDefault="009B4CD5" w14:paraId="76F68B9A" w14:textId="67C8D8AA">
      <w:pPr>
        <w:pStyle w:val="ListParagraph"/>
        <w:numPr>
          <w:ilvl w:val="0"/>
          <w:numId w:val="3"/>
        </w:numPr>
      </w:pPr>
      <w:r w:rsidRPr="009B4CD5">
        <w:rPr>
          <w:rFonts w:ascii="Verdana" w:hAnsi="Verdana"/>
          <w:b/>
          <w:bCs/>
          <w:color w:val="333333"/>
          <w:sz w:val="18"/>
          <w:szCs w:val="18"/>
          <w:shd w:val="clear" w:color="auto" w:fill="FFFFFF"/>
        </w:rPr>
        <w:t xml:space="preserve">Payer communication of the AEOB to the provider is not required under the No Surprises Act.  </w:t>
      </w:r>
      <w:r w:rsidRPr="1DD29868" w:rsidR="0043498C">
        <w:rPr>
          <w:rFonts w:ascii="Verdana" w:hAnsi="Verdana"/>
          <w:sz w:val="18"/>
          <w:szCs w:val="18"/>
          <w:shd w:val="clear" w:color="auto" w:fill="FFFFFF"/>
        </w:rPr>
        <w:t>Please note that</w:t>
      </w:r>
      <w:r w:rsidRPr="1DD29868" w:rsidR="0059522F">
        <w:rPr>
          <w:rFonts w:ascii="Verdana" w:hAnsi="Verdana"/>
          <w:sz w:val="18"/>
          <w:szCs w:val="18"/>
          <w:shd w:val="clear" w:color="auto" w:fill="FFFFFF"/>
        </w:rPr>
        <w:t xml:space="preserve"> 4.2.2</w:t>
      </w:r>
      <w:r w:rsidRPr="1DD29868" w:rsidR="0043498C">
        <w:rPr>
          <w:rFonts w:ascii="Verdana" w:hAnsi="Verdana"/>
          <w:sz w:val="18"/>
          <w:szCs w:val="18"/>
          <w:shd w:val="clear" w:color="auto" w:fill="FFFFFF"/>
        </w:rPr>
        <w:t xml:space="preserve"> also calls out that it’s </w:t>
      </w:r>
      <w:r w:rsidRPr="1DD29868" w:rsidR="0059522F">
        <w:rPr>
          <w:rFonts w:ascii="Verdana" w:hAnsi="Verdana"/>
          <w:sz w:val="18"/>
          <w:szCs w:val="18"/>
          <w:shd w:val="clear" w:color="auto" w:fill="FFFFFF"/>
        </w:rPr>
        <w:t xml:space="preserve">required. </w:t>
      </w:r>
    </w:p>
    <w:p w:rsidR="3F1416ED" w:rsidP="28C972C2" w:rsidRDefault="3F1416ED" w14:paraId="3FE8CD54" w14:textId="2ABF75EB">
      <w:pPr>
        <w:ind w:left="720" w:firstLine="720"/>
        <w:rPr>
          <w:color w:val="FF0000"/>
        </w:rPr>
      </w:pPr>
      <w:r w:rsidRPr="28C972C2" w:rsidR="3F1416ED">
        <w:rPr>
          <w:color w:val="FF0000"/>
        </w:rPr>
        <w:t xml:space="preserve">The PCT IG/RI will allow for an AEOB to be sent to anyone that this authorized. </w:t>
      </w:r>
    </w:p>
    <w:p w:rsidR="3F1416ED" w:rsidP="1DD29868" w:rsidRDefault="3F1416ED" w14:paraId="7FE78CE4" w14:textId="03C6D9FA">
      <w:pPr>
        <w:ind w:left="1440"/>
        <w:rPr>
          <w:color w:val="FF0000"/>
        </w:rPr>
      </w:pPr>
      <w:r w:rsidRPr="1DD29868">
        <w:rPr>
          <w:color w:val="FF0000"/>
        </w:rPr>
        <w:t xml:space="preserve">Note: It is my understanding Da Vinci IGs do not just comply with current reg/laws but instead also try to solve healthcare industry problems that could one day become a reg/law. </w:t>
      </w:r>
    </w:p>
    <w:p w:rsidR="3F1416ED" w:rsidP="1DD29868" w:rsidRDefault="3F1416ED" w14:paraId="1F817015" w14:textId="2F60C0DC">
      <w:pPr>
        <w:ind w:left="1440"/>
        <w:rPr>
          <w:color w:val="FF0000"/>
        </w:rPr>
      </w:pPr>
      <w:r w:rsidRPr="28C972C2" w:rsidR="3F1416ED">
        <w:rPr>
          <w:color w:val="FF0000"/>
        </w:rPr>
        <w:t xml:space="preserve">We are happy to make this optional in the IG if Da Vinci </w:t>
      </w:r>
      <w:r w:rsidRPr="28C972C2" w:rsidR="39404E15">
        <w:rPr>
          <w:color w:val="FF0000"/>
        </w:rPr>
        <w:t xml:space="preserve">and the </w:t>
      </w:r>
      <w:r w:rsidRPr="28C972C2" w:rsidR="39404E15">
        <w:rPr>
          <w:color w:val="FF0000"/>
        </w:rPr>
        <w:t>comminity</w:t>
      </w:r>
      <w:r w:rsidRPr="28C972C2" w:rsidR="39404E15">
        <w:rPr>
          <w:color w:val="FF0000"/>
        </w:rPr>
        <w:t xml:space="preserve"> </w:t>
      </w:r>
      <w:r w:rsidRPr="28C972C2" w:rsidR="3F1416ED">
        <w:rPr>
          <w:color w:val="FF0000"/>
        </w:rPr>
        <w:t>wants this.</w:t>
      </w:r>
    </w:p>
    <w:p w:rsidR="3F1416ED" w:rsidP="1DD29868" w:rsidRDefault="3F1416ED" w14:paraId="57DADEE8" w14:textId="6F3A7DD8">
      <w:pPr>
        <w:ind w:left="1440"/>
        <w:rPr>
          <w:b/>
          <w:bCs/>
          <w:color w:val="FF0000"/>
        </w:rPr>
      </w:pPr>
      <w:r w:rsidRPr="1DD29868">
        <w:rPr>
          <w:b/>
          <w:bCs/>
          <w:color w:val="FF0000"/>
        </w:rPr>
        <w:t>Vanessa/Viet/Da Vinci should this be optional?</w:t>
      </w:r>
    </w:p>
    <w:p w:rsidR="1DD29868" w:rsidP="1DD29868" w:rsidRDefault="1DD29868" w14:paraId="3528C023" w14:textId="4BA30EA4">
      <w:pPr>
        <w:ind w:left="720"/>
      </w:pPr>
    </w:p>
    <w:p w:rsidR="009B4CD5" w:rsidP="009B4CD5" w:rsidRDefault="009B4CD5" w14:paraId="3FA296DA" w14:textId="59A2889D">
      <w:pPr>
        <w:ind w:left="720"/>
      </w:pPr>
      <w:r>
        <w:t>The numbering doesn’t look quite right – shouldn’t ‘Get completed AEOB from paye</w:t>
      </w:r>
      <w:r w:rsidR="00B848A3">
        <w:t>r’ be 7</w:t>
      </w:r>
      <w:r>
        <w:t>.3?</w:t>
      </w:r>
      <w:r w:rsidR="00B848A3">
        <w:t xml:space="preserve"> or the header for 7.2 be a generic ‘Data Flow and System Actors’ with ‘Submit AEOB Request to Payer’ as 7.2.1?</w:t>
      </w:r>
    </w:p>
    <w:p w:rsidR="619960D2" w:rsidP="1DD29868" w:rsidRDefault="619960D2" w14:paraId="1ED7BE64" w14:textId="27085567">
      <w:pPr>
        <w:ind w:left="720"/>
        <w:rPr>
          <w:color w:val="FF0000"/>
        </w:rPr>
      </w:pPr>
      <w:r w:rsidRPr="28C972C2" w:rsidR="1BCD286D">
        <w:rPr>
          <w:color w:val="FF0000"/>
        </w:rPr>
        <w:t>W</w:t>
      </w:r>
      <w:r w:rsidRPr="28C972C2" w:rsidR="619960D2">
        <w:rPr>
          <w:color w:val="FF0000"/>
        </w:rPr>
        <w:t>e will review this and correct it as needed.</w:t>
      </w:r>
    </w:p>
    <w:p w:rsidR="1DD29868" w:rsidP="1DD29868" w:rsidRDefault="1DD29868" w14:paraId="216CACC4" w14:textId="3C71F961">
      <w:pPr>
        <w:ind w:left="720"/>
      </w:pPr>
    </w:p>
    <w:p w:rsidR="1DD29868" w:rsidP="1DD29868" w:rsidRDefault="1DD29868" w14:paraId="0105B56F" w14:textId="2F833914">
      <w:pPr>
        <w:ind w:left="720"/>
      </w:pPr>
    </w:p>
    <w:p w:rsidR="1DD29868" w:rsidP="1DD29868" w:rsidRDefault="1DD29868" w14:paraId="03B0D3F2" w14:textId="44D5BFE0">
      <w:pPr>
        <w:ind w:left="720"/>
      </w:pPr>
    </w:p>
    <w:p w:rsidR="1DD29868" w:rsidP="1DD29868" w:rsidRDefault="1DD29868" w14:paraId="460C6400" w14:textId="1B746904">
      <w:pPr>
        <w:ind w:left="720"/>
      </w:pPr>
    </w:p>
    <w:p w:rsidR="1DD29868" w:rsidP="1DD29868" w:rsidRDefault="1DD29868" w14:paraId="5760881D" w14:textId="736E2011">
      <w:pPr>
        <w:ind w:left="720"/>
      </w:pPr>
    </w:p>
    <w:p w:rsidR="1DD29868" w:rsidP="1DD29868" w:rsidRDefault="1DD29868" w14:paraId="2D8E4061" w14:textId="0F345DC9">
      <w:pPr>
        <w:ind w:left="720"/>
      </w:pPr>
    </w:p>
    <w:p w:rsidR="1DD29868" w:rsidP="1DD29868" w:rsidRDefault="1DD29868" w14:paraId="478DD844" w14:textId="7F73E172">
      <w:pPr>
        <w:ind w:left="720"/>
      </w:pPr>
    </w:p>
    <w:p w:rsidR="00A0616A" w:rsidP="009B4CD5" w:rsidRDefault="00B848A3" w14:paraId="21EDF0F2" w14:textId="2217FF3B">
      <w:pPr>
        <w:ind w:left="720"/>
      </w:pPr>
      <w:r>
        <w:t>7</w:t>
      </w:r>
      <w:r w:rsidR="00A0616A">
        <w:t>.2.2   The list of System Actors is incomplete.  Add provider IT systems / vendors and patients, etc.</w:t>
      </w:r>
      <w:r w:rsidR="00C03378">
        <w:t xml:space="preserve">  Add </w:t>
      </w:r>
      <w:r w:rsidR="00775776">
        <w:t>3</w:t>
      </w:r>
      <w:r w:rsidRPr="1DD29868" w:rsidR="00775776">
        <w:rPr>
          <w:vertAlign w:val="superscript"/>
        </w:rPr>
        <w:t>rd</w:t>
      </w:r>
      <w:r w:rsidR="00775776">
        <w:t xml:space="preserve"> party apps between the payer and the patient.  </w:t>
      </w:r>
    </w:p>
    <w:p w:rsidR="01DF55EE" w:rsidP="1DD29868" w:rsidRDefault="01DF55EE" w14:paraId="67E7F486" w14:textId="18A5C75D">
      <w:pPr>
        <w:ind w:left="720"/>
        <w:rPr>
          <w:color w:val="FF0000"/>
        </w:rPr>
      </w:pPr>
      <w:r w:rsidRPr="28C972C2" w:rsidR="765B6905">
        <w:rPr>
          <w:color w:val="FF0000"/>
        </w:rPr>
        <w:t>We</w:t>
      </w:r>
      <w:r w:rsidRPr="28C972C2" w:rsidR="01DF55EE">
        <w:rPr>
          <w:color w:val="FF0000"/>
        </w:rPr>
        <w:t xml:space="preserve"> can add th</w:t>
      </w:r>
      <w:r w:rsidRPr="28C972C2" w:rsidR="538139BF">
        <w:rPr>
          <w:color w:val="FF0000"/>
        </w:rPr>
        <w:t>ese</w:t>
      </w:r>
      <w:r w:rsidRPr="28C972C2" w:rsidR="01DF55EE">
        <w:rPr>
          <w:color w:val="FF0000"/>
        </w:rPr>
        <w:t>.</w:t>
      </w:r>
    </w:p>
    <w:p w:rsidR="00A0616A" w:rsidP="009B4CD5" w:rsidRDefault="00B848A3" w14:paraId="24A09140" w14:textId="4DADCE7A">
      <w:pPr>
        <w:ind w:left="720"/>
      </w:pPr>
      <w:r>
        <w:t>7</w:t>
      </w:r>
      <w:r w:rsidR="00A0616A">
        <w:t xml:space="preserve">.3 </w:t>
      </w:r>
      <w:r>
        <w:t>Terms and Concepts</w:t>
      </w:r>
    </w:p>
    <w:p w:rsidR="00A0616A" w:rsidP="00A0616A" w:rsidRDefault="00A0616A" w14:paraId="2D16F8EA" w14:textId="16BDCE58">
      <w:pPr>
        <w:pStyle w:val="ListParagraph"/>
        <w:numPr>
          <w:ilvl w:val="0"/>
          <w:numId w:val="4"/>
        </w:numPr>
        <w:ind w:left="1440"/>
      </w:pPr>
      <w:r>
        <w:t>What is a Best Faith Estimate?</w:t>
      </w:r>
    </w:p>
    <w:p w:rsidR="3D88190E" w:rsidP="28C972C2" w:rsidRDefault="3D88190E" w14:paraId="3116C4EA" w14:textId="2D2B4988">
      <w:pPr>
        <w:ind w:left="720" w:firstLine="720"/>
        <w:rPr>
          <w:color w:val="FF0000"/>
        </w:rPr>
      </w:pPr>
      <w:r w:rsidRPr="28C972C2" w:rsidR="3D88190E">
        <w:rPr>
          <w:color w:val="FF0000"/>
        </w:rPr>
        <w:t>This has been removed.</w:t>
      </w:r>
    </w:p>
    <w:p w:rsidRPr="00A0616A" w:rsidR="00A0616A" w:rsidP="00A0616A" w:rsidRDefault="00A0616A" w14:paraId="0AA1C2D0" w14:textId="7308A63A">
      <w:pPr>
        <w:pStyle w:val="ListParagraph"/>
        <w:numPr>
          <w:ilvl w:val="0"/>
          <w:numId w:val="4"/>
        </w:numPr>
        <w:ind w:left="1440"/>
      </w:pPr>
      <w:r>
        <w:t>Why is ‘D</w:t>
      </w:r>
      <w:r>
        <w:rPr>
          <w:rFonts w:ascii="Verdana" w:hAnsi="Verdana"/>
          <w:color w:val="333333"/>
          <w:sz w:val="18"/>
          <w:szCs w:val="18"/>
          <w:shd w:val="clear" w:color="auto" w:fill="FFFFFF"/>
        </w:rPr>
        <w:t>iscounted Cash Price’ included --- Individuals who pay cash are not covered under the No Surprise Billing</w:t>
      </w:r>
    </w:p>
    <w:p w:rsidR="5037AA18" w:rsidP="28C972C2" w:rsidRDefault="5037AA18" w14:paraId="22E4DDD2" w14:textId="690D1F64">
      <w:pPr>
        <w:ind w:left="720" w:firstLine="720"/>
        <w:rPr>
          <w:rFonts w:ascii="Verdana" w:hAnsi="Verdana"/>
          <w:color w:val="FF0000"/>
          <w:sz w:val="18"/>
          <w:szCs w:val="18"/>
        </w:rPr>
      </w:pPr>
      <w:r w:rsidRPr="28C972C2" w:rsidR="5037AA18">
        <w:rPr>
          <w:rFonts w:ascii="Verdana" w:hAnsi="Verdana"/>
          <w:color w:val="FF0000"/>
          <w:sz w:val="18"/>
          <w:szCs w:val="18"/>
        </w:rPr>
        <w:t xml:space="preserve">Right, </w:t>
      </w:r>
      <w:r w:rsidRPr="28C972C2" w:rsidR="67C86B7E">
        <w:rPr>
          <w:rFonts w:ascii="Verdana" w:hAnsi="Verdana"/>
          <w:color w:val="FF0000"/>
          <w:sz w:val="18"/>
          <w:szCs w:val="18"/>
        </w:rPr>
        <w:t>we</w:t>
      </w:r>
      <w:r w:rsidRPr="28C972C2" w:rsidR="5037AA18">
        <w:rPr>
          <w:rFonts w:ascii="Verdana" w:hAnsi="Verdana"/>
          <w:color w:val="FF0000"/>
          <w:sz w:val="18"/>
          <w:szCs w:val="18"/>
        </w:rPr>
        <w:t xml:space="preserve"> don’t see the need for this. We can remove this. </w:t>
      </w:r>
    </w:p>
    <w:p w:rsidRPr="00B848A3" w:rsidR="00A0616A" w:rsidP="00A0616A" w:rsidRDefault="00A0616A" w14:paraId="2DDDFEF9" w14:textId="64E3E864">
      <w:pPr>
        <w:pStyle w:val="ListParagraph"/>
        <w:numPr>
          <w:ilvl w:val="0"/>
          <w:numId w:val="4"/>
        </w:numPr>
        <w:ind w:left="1440"/>
      </w:pPr>
      <w:r>
        <w:rPr>
          <w:rFonts w:ascii="Verdana" w:hAnsi="Verdana"/>
          <w:color w:val="333333"/>
          <w:sz w:val="18"/>
          <w:szCs w:val="18"/>
          <w:shd w:val="clear" w:color="auto" w:fill="FFFFFF"/>
        </w:rPr>
        <w:t>Co-insurance is defined</w:t>
      </w:r>
      <w:r w:rsidR="00C03378">
        <w:rPr>
          <w:rFonts w:ascii="Verdana" w:hAnsi="Verdana"/>
          <w:color w:val="333333"/>
          <w:sz w:val="18"/>
          <w:szCs w:val="18"/>
          <w:shd w:val="clear" w:color="auto" w:fill="FFFFFF"/>
        </w:rPr>
        <w:t xml:space="preserve"> which is one of several patient cost sharing data elements</w:t>
      </w:r>
      <w:r>
        <w:rPr>
          <w:rFonts w:ascii="Verdana" w:hAnsi="Verdana"/>
          <w:color w:val="333333"/>
          <w:sz w:val="18"/>
          <w:szCs w:val="18"/>
          <w:shd w:val="clear" w:color="auto" w:fill="FFFFFF"/>
        </w:rPr>
        <w:t xml:space="preserve">…  add </w:t>
      </w:r>
      <w:r w:rsidR="006172D5">
        <w:rPr>
          <w:rFonts w:ascii="Verdana" w:hAnsi="Verdana"/>
          <w:color w:val="333333"/>
          <w:sz w:val="18"/>
          <w:szCs w:val="18"/>
          <w:shd w:val="clear" w:color="auto" w:fill="FFFFFF"/>
        </w:rPr>
        <w:t>definitions for Co-Pay and Deductible</w:t>
      </w:r>
    </w:p>
    <w:p w:rsidRPr="00B848A3" w:rsidR="00B848A3" w:rsidP="28C972C2" w:rsidRDefault="00B848A3" w14:paraId="16573EEA" w14:textId="209BF1D7">
      <w:pPr>
        <w:ind w:left="720" w:firstLine="720"/>
        <w:rPr>
          <w:rFonts w:ascii="Verdana" w:hAnsi="Verdana"/>
          <w:color w:val="FF0000"/>
          <w:sz w:val="18"/>
          <w:szCs w:val="18"/>
        </w:rPr>
      </w:pPr>
      <w:r w:rsidRPr="28C972C2" w:rsidR="50DF4895">
        <w:rPr>
          <w:rFonts w:ascii="Verdana" w:hAnsi="Verdana"/>
          <w:color w:val="FF0000"/>
          <w:sz w:val="18"/>
          <w:szCs w:val="18"/>
        </w:rPr>
        <w:t xml:space="preserve">We </w:t>
      </w:r>
      <w:r w:rsidRPr="28C972C2" w:rsidR="3AD1E371">
        <w:rPr>
          <w:rFonts w:ascii="Verdana" w:hAnsi="Verdana"/>
          <w:color w:val="FF0000"/>
          <w:sz w:val="18"/>
          <w:szCs w:val="18"/>
        </w:rPr>
        <w:t>can add th</w:t>
      </w:r>
      <w:r w:rsidRPr="28C972C2" w:rsidR="1BC00F66">
        <w:rPr>
          <w:rFonts w:ascii="Verdana" w:hAnsi="Verdana"/>
          <w:color w:val="FF0000"/>
          <w:sz w:val="18"/>
          <w:szCs w:val="18"/>
        </w:rPr>
        <w:t>ese</w:t>
      </w:r>
      <w:r w:rsidRPr="28C972C2" w:rsidR="3AD1E371">
        <w:rPr>
          <w:rFonts w:ascii="Verdana" w:hAnsi="Verdana"/>
          <w:color w:val="FF0000"/>
          <w:sz w:val="18"/>
          <w:szCs w:val="18"/>
        </w:rPr>
        <w:t xml:space="preserve">. </w:t>
      </w:r>
    </w:p>
    <w:p w:rsidR="1DD29868" w:rsidP="1DD29868" w:rsidRDefault="1DD29868" w14:paraId="2D5E4E18" w14:textId="0236A086">
      <w:pPr>
        <w:pStyle w:val="ListParagraph"/>
        <w:ind w:left="1440"/>
      </w:pPr>
    </w:p>
    <w:p w:rsidR="1DD29868" w:rsidP="1DD29868" w:rsidRDefault="1DD29868" w14:paraId="5AF6F1DF" w14:textId="0F2EDE19">
      <w:pPr>
        <w:pStyle w:val="ListParagraph"/>
        <w:ind w:left="1440"/>
      </w:pPr>
    </w:p>
    <w:p w:rsidR="1DD29868" w:rsidP="1DD29868" w:rsidRDefault="1DD29868" w14:paraId="11869F85" w14:textId="2DC551F7">
      <w:pPr>
        <w:pStyle w:val="ListParagraph"/>
        <w:ind w:left="1440"/>
      </w:pPr>
    </w:p>
    <w:p w:rsidR="1DD29868" w:rsidP="1DD29868" w:rsidRDefault="1DD29868" w14:paraId="64468476" w14:textId="4B26A112">
      <w:pPr>
        <w:pStyle w:val="ListParagraph"/>
        <w:ind w:left="1440"/>
      </w:pPr>
    </w:p>
    <w:p w:rsidR="1DD29868" w:rsidP="1DD29868" w:rsidRDefault="1DD29868" w14:paraId="2126E9A8" w14:textId="36F9C4D8">
      <w:pPr>
        <w:pStyle w:val="ListParagraph"/>
        <w:ind w:left="1440"/>
      </w:pPr>
    </w:p>
    <w:p w:rsidR="1DD29868" w:rsidP="1DD29868" w:rsidRDefault="1DD29868" w14:paraId="5829EE5B" w14:textId="01A3BD28">
      <w:pPr>
        <w:pStyle w:val="ListParagraph"/>
        <w:ind w:left="1440"/>
      </w:pPr>
    </w:p>
    <w:p w:rsidR="1DD29868" w:rsidP="1DD29868" w:rsidRDefault="1DD29868" w14:paraId="40FF25F1" w14:textId="08991FAB">
      <w:pPr>
        <w:pStyle w:val="ListParagraph"/>
        <w:ind w:left="1440"/>
      </w:pPr>
    </w:p>
    <w:p w:rsidR="1DD29868" w:rsidP="1DD29868" w:rsidRDefault="1DD29868" w14:paraId="5E9FFC0C" w14:textId="7F8F7EBC">
      <w:pPr>
        <w:pStyle w:val="ListParagraph"/>
        <w:ind w:left="1440"/>
      </w:pPr>
    </w:p>
    <w:p w:rsidR="1DD29868" w:rsidP="1DD29868" w:rsidRDefault="1DD29868" w14:paraId="6BCA7737" w14:textId="08FDBF17">
      <w:pPr>
        <w:pStyle w:val="ListParagraph"/>
        <w:ind w:left="1440"/>
      </w:pPr>
    </w:p>
    <w:p w:rsidR="1DD29868" w:rsidP="1DD29868" w:rsidRDefault="1DD29868" w14:paraId="41951768" w14:textId="5EF6B6BB">
      <w:pPr>
        <w:pStyle w:val="ListParagraph"/>
        <w:ind w:left="1440"/>
      </w:pPr>
    </w:p>
    <w:p w:rsidR="1DD29868" w:rsidP="1DD29868" w:rsidRDefault="1DD29868" w14:paraId="1E099518" w14:textId="7ABC735A">
      <w:pPr>
        <w:pStyle w:val="ListParagraph"/>
        <w:ind w:left="1440"/>
      </w:pPr>
    </w:p>
    <w:p w:rsidR="1DD29868" w:rsidP="1DD29868" w:rsidRDefault="1DD29868" w14:paraId="151BA015" w14:textId="54E5D259">
      <w:pPr>
        <w:pStyle w:val="ListParagraph"/>
        <w:ind w:left="1440"/>
      </w:pPr>
    </w:p>
    <w:p w:rsidR="1DD29868" w:rsidP="1DD29868" w:rsidRDefault="1DD29868" w14:paraId="70B69C52" w14:textId="6A8D1781">
      <w:pPr>
        <w:pStyle w:val="ListParagraph"/>
        <w:ind w:left="1440"/>
      </w:pPr>
    </w:p>
    <w:p w:rsidR="1DD29868" w:rsidP="1DD29868" w:rsidRDefault="1DD29868" w14:paraId="3874B854" w14:textId="4EC657A3">
      <w:pPr>
        <w:pStyle w:val="ListParagraph"/>
        <w:ind w:left="1440"/>
      </w:pPr>
    </w:p>
    <w:p w:rsidR="1DD29868" w:rsidP="1DD29868" w:rsidRDefault="1DD29868" w14:paraId="2C0E21E3" w14:textId="0D259A23">
      <w:pPr>
        <w:pStyle w:val="ListParagraph"/>
        <w:ind w:left="1440"/>
      </w:pPr>
    </w:p>
    <w:p w:rsidR="28C972C2" w:rsidP="28C972C2" w:rsidRDefault="28C972C2" w14:paraId="07EE81A7" w14:textId="2252F38D">
      <w:pPr>
        <w:pStyle w:val="ListParagraph"/>
        <w:ind w:left="1440"/>
      </w:pPr>
    </w:p>
    <w:p w:rsidR="1DD29868" w:rsidP="1DD29868" w:rsidRDefault="1DD29868" w14:paraId="18A295FE" w14:textId="0603402A">
      <w:pPr>
        <w:pStyle w:val="ListParagraph"/>
        <w:ind w:left="1440"/>
      </w:pPr>
    </w:p>
    <w:p w:rsidR="1DD29868" w:rsidP="1DD29868" w:rsidRDefault="1DD29868" w14:paraId="24EA59CB" w14:textId="56CEB2B9">
      <w:pPr>
        <w:pStyle w:val="ListParagraph"/>
        <w:ind w:left="1440"/>
      </w:pPr>
    </w:p>
    <w:p w:rsidR="1DD29868" w:rsidP="1DD29868" w:rsidRDefault="1DD29868" w14:paraId="4A6F36A9" w14:textId="08148F2C">
      <w:pPr>
        <w:pStyle w:val="ListParagraph"/>
        <w:ind w:left="1440"/>
      </w:pPr>
    </w:p>
    <w:p w:rsidR="1DD29868" w:rsidP="1DD29868" w:rsidRDefault="1DD29868" w14:paraId="6CF51B5B" w14:textId="19C3A8BD">
      <w:pPr>
        <w:pStyle w:val="ListParagraph"/>
        <w:ind w:left="1440"/>
      </w:pPr>
    </w:p>
    <w:p w:rsidR="1DD29868" w:rsidP="1DD29868" w:rsidRDefault="1DD29868" w14:paraId="1C356396" w14:textId="4F559007">
      <w:pPr>
        <w:pStyle w:val="ListParagraph"/>
        <w:ind w:left="1440"/>
      </w:pPr>
    </w:p>
    <w:p w:rsidR="1DD29868" w:rsidP="1DD29868" w:rsidRDefault="1DD29868" w14:paraId="53394BE4" w14:textId="2E827A33">
      <w:pPr>
        <w:pStyle w:val="ListParagraph"/>
        <w:ind w:left="1440"/>
      </w:pPr>
    </w:p>
    <w:p w:rsidR="1DD29868" w:rsidP="1DD29868" w:rsidRDefault="1DD29868" w14:paraId="735A89DD" w14:textId="0C8145BF">
      <w:pPr>
        <w:pStyle w:val="ListParagraph"/>
        <w:ind w:left="1440"/>
      </w:pPr>
    </w:p>
    <w:p w:rsidR="1DD29868" w:rsidP="1DD29868" w:rsidRDefault="1DD29868" w14:paraId="4AAD3AD9" w14:textId="59D47B1C">
      <w:pPr>
        <w:pStyle w:val="ListParagraph"/>
        <w:ind w:left="1440"/>
      </w:pPr>
    </w:p>
    <w:p w:rsidR="1DD29868" w:rsidP="1DD29868" w:rsidRDefault="1DD29868" w14:paraId="202CADDE" w14:textId="017603BE">
      <w:pPr>
        <w:pStyle w:val="ListParagraph"/>
        <w:ind w:left="1440"/>
      </w:pPr>
    </w:p>
    <w:p w:rsidR="1DD29868" w:rsidP="1DD29868" w:rsidRDefault="1DD29868" w14:paraId="69920E8A" w14:textId="4B298104">
      <w:pPr>
        <w:pStyle w:val="ListParagraph"/>
        <w:ind w:left="1440"/>
      </w:pPr>
    </w:p>
    <w:p w:rsidR="1DD29868" w:rsidP="1DD29868" w:rsidRDefault="1DD29868" w14:paraId="6F56E5C9" w14:textId="4D037929">
      <w:pPr>
        <w:pStyle w:val="ListParagraph"/>
        <w:ind w:left="1440"/>
      </w:pPr>
    </w:p>
    <w:p w:rsidR="1DD29868" w:rsidP="1DD29868" w:rsidRDefault="1DD29868" w14:paraId="3D4732F7" w14:textId="3A97E7A1">
      <w:pPr>
        <w:pStyle w:val="ListParagraph"/>
        <w:ind w:left="1440"/>
      </w:pPr>
    </w:p>
    <w:p w:rsidR="00B848A3" w:rsidP="0D916D9B" w:rsidRDefault="00B848A3" w14:paraId="45237BBE" w14:textId="574884B7">
      <w:pPr>
        <w:pStyle w:val="ListParagraph"/>
        <w:numPr>
          <w:ilvl w:val="0"/>
          <w:numId w:val="6"/>
        </w:numPr>
        <w:rPr>
          <w:rFonts w:eastAsia="" w:eastAsiaTheme="minorEastAsia"/>
          <w:color w:val="FF0000"/>
        </w:rPr>
      </w:pPr>
      <w:r w:rsidR="2C10A9F7">
        <w:rPr/>
        <w:t>Artifacts Summary</w:t>
      </w:r>
      <w:r w:rsidR="5FA3BA5E">
        <w:rPr/>
        <w:t xml:space="preserve"> </w:t>
      </w:r>
    </w:p>
    <w:p w:rsidR="007826D4" w:rsidP="007826D4" w:rsidRDefault="007826D4" w14:paraId="6D8B8E63" w14:textId="0C07F1AB">
      <w:pPr>
        <w:ind w:left="720"/>
      </w:pPr>
      <w:r>
        <w:t>8.0.1 Structures:  Resource Profiles</w:t>
      </w:r>
    </w:p>
    <w:p w:rsidR="007826D4" w:rsidP="007826D4" w:rsidRDefault="007826D4" w14:paraId="3CA98509" w14:textId="77777777">
      <w:pPr>
        <w:pStyle w:val="ListParagraph"/>
        <w:numPr>
          <w:ilvl w:val="1"/>
          <w:numId w:val="6"/>
        </w:numPr>
      </w:pPr>
      <w:r>
        <w:t>To align with the verbiage of the data flows, should ‘PCT Good Faith Estimate’ be renamed ‘PCT Advanced EOB Request’?</w:t>
      </w:r>
    </w:p>
    <w:p w:rsidRPr="00865C1D" w:rsidR="007826D4" w:rsidP="007826D4" w:rsidRDefault="007826D4" w14:paraId="21915D06" w14:textId="77777777">
      <w:pPr>
        <w:pStyle w:val="ListParagraph"/>
        <w:ind w:left="1440"/>
        <w:rPr>
          <w:color w:val="FF0000"/>
        </w:rPr>
      </w:pPr>
      <w:r w:rsidRPr="00865C1D">
        <w:rPr>
          <w:color w:val="FF0000"/>
        </w:rPr>
        <w:t xml:space="preserve">The GFE concept is clearly defined and widely referenced, and it is used to designate the data needed for exchanging between systems for generating the AEOB. Therefore, to have a profile created for </w:t>
      </w:r>
      <w:r>
        <w:rPr>
          <w:color w:val="FF0000"/>
        </w:rPr>
        <w:t xml:space="preserve">and named after </w:t>
      </w:r>
      <w:r w:rsidRPr="00865C1D">
        <w:rPr>
          <w:color w:val="FF0000"/>
        </w:rPr>
        <w:t>it makes good sense.</w:t>
      </w:r>
    </w:p>
    <w:p w:rsidRPr="00865C1D" w:rsidR="007826D4" w:rsidP="007826D4" w:rsidRDefault="007826D4" w14:paraId="60AA8040" w14:textId="77777777">
      <w:pPr>
        <w:pStyle w:val="ListParagraph"/>
        <w:ind w:left="1440"/>
        <w:rPr>
          <w:color w:val="FF0000"/>
        </w:rPr>
      </w:pPr>
      <w:r w:rsidRPr="00865C1D">
        <w:rPr>
          <w:color w:val="FF0000"/>
        </w:rPr>
        <w:t>However, we are open to renam</w:t>
      </w:r>
      <w:r>
        <w:rPr>
          <w:color w:val="FF0000"/>
        </w:rPr>
        <w:t>e</w:t>
      </w:r>
      <w:r w:rsidRPr="00865C1D">
        <w:rPr>
          <w:color w:val="FF0000"/>
        </w:rPr>
        <w:t xml:space="preserve"> the profile after a formal review of the PCT IG and if there are further comments about renaming the profile.</w:t>
      </w:r>
    </w:p>
    <w:p w:rsidR="007826D4" w:rsidP="007826D4" w:rsidRDefault="007826D4" w14:paraId="080705A0" w14:textId="77777777">
      <w:pPr>
        <w:pStyle w:val="ListParagraph"/>
        <w:ind w:left="1440"/>
      </w:pPr>
    </w:p>
    <w:p w:rsidR="007826D4" w:rsidP="007826D4" w:rsidRDefault="007826D4" w14:paraId="1AEAB2A9" w14:textId="77777777">
      <w:pPr>
        <w:pStyle w:val="ListParagraph"/>
        <w:numPr>
          <w:ilvl w:val="1"/>
          <w:numId w:val="6"/>
        </w:numPr>
      </w:pPr>
      <w:r>
        <w:t>Define separate profiles for Institutional and Professional / Non-Clinician</w:t>
      </w:r>
    </w:p>
    <w:p w:rsidRPr="00663C91" w:rsidR="007826D4" w:rsidP="007826D4" w:rsidRDefault="007826D4" w14:paraId="1DCC28FA" w14:textId="77777777">
      <w:pPr>
        <w:pStyle w:val="ListParagraph"/>
        <w:ind w:left="1440"/>
        <w:rPr>
          <w:color w:val="FF0000"/>
        </w:rPr>
      </w:pPr>
      <w:r w:rsidRPr="00663C91">
        <w:rPr>
          <w:color w:val="FF0000"/>
        </w:rPr>
        <w:t>We want to avoid creating multiple profiles for Institutional and Professional and others if we can use coding and value sets to differentiate the various profile usages.</w:t>
      </w:r>
    </w:p>
    <w:p w:rsidR="007826D4" w:rsidP="007826D4" w:rsidRDefault="007826D4" w14:paraId="3C4CC09C" w14:textId="77777777">
      <w:pPr>
        <w:pStyle w:val="ListParagraph"/>
        <w:ind w:left="1440"/>
      </w:pPr>
    </w:p>
    <w:p w:rsidR="007826D4" w:rsidP="007826D4" w:rsidRDefault="007826D4" w14:paraId="6785E694" w14:textId="77777777">
      <w:pPr>
        <w:pStyle w:val="ListParagraph"/>
        <w:numPr>
          <w:ilvl w:val="1"/>
          <w:numId w:val="6"/>
        </w:numPr>
      </w:pPr>
      <w:r>
        <w:t xml:space="preserve">Delete the PCT </w:t>
      </w:r>
      <w:proofErr w:type="spellStart"/>
      <w:r>
        <w:t>RelatedPerson</w:t>
      </w:r>
      <w:proofErr w:type="spellEnd"/>
      <w:r>
        <w:t xml:space="preserve"> </w:t>
      </w:r>
      <w:proofErr w:type="spellStart"/>
      <w:proofErr w:type="gramStart"/>
      <w:r>
        <w:t>profile.The</w:t>
      </w:r>
      <w:proofErr w:type="spellEnd"/>
      <w:proofErr w:type="gramEnd"/>
      <w:r>
        <w:t xml:space="preserve"> </w:t>
      </w:r>
      <w:hyperlink w:history="1" r:id="rId12">
        <w:proofErr w:type="spellStart"/>
        <w:r>
          <w:rPr>
            <w:rStyle w:val="Hyperlink"/>
          </w:rPr>
          <w:t>RelatedPerson</w:t>
        </w:r>
        <w:proofErr w:type="spellEnd"/>
        <w:r>
          <w:rPr>
            <w:rStyle w:val="Hyperlink"/>
          </w:rPr>
          <w:t xml:space="preserve"> Resource</w:t>
        </w:r>
      </w:hyperlink>
      <w:r>
        <w:t xml:space="preserve"> is defined to capture captures information about a person who accompanies a patient, for example, to the ER.  Examples include a patient's relatives or friends, a neighbor bringing a patient to the hospital, a patient’s </w:t>
      </w:r>
      <w:proofErr w:type="gramStart"/>
      <w:r>
        <w:t>attorney</w:t>
      </w:r>
      <w:proofErr w:type="gramEnd"/>
      <w:r>
        <w:t xml:space="preserve"> or guardian.  If the intent is to capture the subscriber identifier of the patient, it is defined as </w:t>
      </w:r>
      <w:proofErr w:type="spellStart"/>
      <w:r>
        <w:t>Coverage.subscriberid</w:t>
      </w:r>
      <w:proofErr w:type="spellEnd"/>
      <w:r>
        <w:t>.</w:t>
      </w:r>
    </w:p>
    <w:p w:rsidRPr="00C47039" w:rsidR="007826D4" w:rsidP="007826D4" w:rsidRDefault="007826D4" w14:paraId="16EBA7AA" w14:textId="77777777">
      <w:pPr>
        <w:pStyle w:val="ListParagraph"/>
        <w:ind w:left="1440"/>
        <w:rPr>
          <w:color w:val="FF0000"/>
        </w:rPr>
      </w:pPr>
      <w:r w:rsidRPr="00C47039">
        <w:rPr>
          <w:color w:val="FF0000"/>
        </w:rPr>
        <w:t>Will consider your suggestion and decide whether we need this profile or not.</w:t>
      </w:r>
    </w:p>
    <w:p w:rsidR="007826D4" w:rsidP="007826D4" w:rsidRDefault="007826D4" w14:paraId="698BEDD0" w14:textId="77777777">
      <w:pPr>
        <w:pStyle w:val="ListParagraph"/>
        <w:ind w:left="1440"/>
      </w:pPr>
    </w:p>
    <w:p w:rsidR="007826D4" w:rsidP="007826D4" w:rsidRDefault="007826D4" w14:paraId="382F2239" w14:textId="77777777">
      <w:pPr>
        <w:pStyle w:val="ListParagraph"/>
        <w:numPr>
          <w:ilvl w:val="1"/>
          <w:numId w:val="6"/>
        </w:numPr>
      </w:pPr>
      <w:r>
        <w:t>Define a Practitioner Resource</w:t>
      </w:r>
    </w:p>
    <w:p w:rsidRPr="00E07DEE" w:rsidR="007826D4" w:rsidP="007826D4" w:rsidRDefault="007826D4" w14:paraId="0340C080" w14:textId="77777777">
      <w:pPr>
        <w:pStyle w:val="ListParagraph"/>
        <w:ind w:left="1440"/>
        <w:rPr>
          <w:color w:val="FF0000"/>
        </w:rPr>
      </w:pPr>
      <w:r w:rsidRPr="00E07DEE">
        <w:rPr>
          <w:color w:val="FF0000"/>
        </w:rPr>
        <w:t>Will create a PCT Practitioner profile.</w:t>
      </w:r>
    </w:p>
    <w:p w:rsidR="1DD29868" w:rsidP="1DD29868" w:rsidRDefault="1DD29868" w14:paraId="2945C48D" w14:textId="023B2D97"/>
    <w:p w:rsidR="28C972C2" w:rsidP="28C972C2" w:rsidRDefault="28C972C2" w14:paraId="1E02E358" w14:textId="5080B643">
      <w:pPr>
        <w:pStyle w:val="Normal"/>
      </w:pPr>
    </w:p>
    <w:p w:rsidR="28C972C2" w:rsidP="28C972C2" w:rsidRDefault="28C972C2" w14:paraId="130D4E79" w14:textId="2D450FFA">
      <w:pPr>
        <w:pStyle w:val="Normal"/>
      </w:pPr>
    </w:p>
    <w:p w:rsidR="28C972C2" w:rsidP="28C972C2" w:rsidRDefault="28C972C2" w14:paraId="69C42488" w14:textId="6B031FB3">
      <w:pPr>
        <w:pStyle w:val="Normal"/>
      </w:pPr>
    </w:p>
    <w:p w:rsidR="28C972C2" w:rsidP="28C972C2" w:rsidRDefault="28C972C2" w14:paraId="19561705" w14:textId="59ABA3A3">
      <w:pPr>
        <w:pStyle w:val="Normal"/>
      </w:pPr>
    </w:p>
    <w:p w:rsidR="28C972C2" w:rsidP="28C972C2" w:rsidRDefault="28C972C2" w14:paraId="0B6A8B81" w14:textId="3B0CFB17">
      <w:pPr>
        <w:pStyle w:val="Normal"/>
      </w:pPr>
    </w:p>
    <w:p w:rsidR="28C972C2" w:rsidP="28C972C2" w:rsidRDefault="28C972C2" w14:paraId="50608A87" w14:textId="122BAF02">
      <w:pPr>
        <w:pStyle w:val="Normal"/>
      </w:pPr>
    </w:p>
    <w:p w:rsidR="28C972C2" w:rsidP="28C972C2" w:rsidRDefault="28C972C2" w14:paraId="65A5EDD3" w14:textId="24BBFA70">
      <w:pPr>
        <w:pStyle w:val="Normal"/>
      </w:pPr>
    </w:p>
    <w:p w:rsidR="28C972C2" w:rsidP="28C972C2" w:rsidRDefault="28C972C2" w14:paraId="596EEA49" w14:textId="1503B050">
      <w:pPr>
        <w:pStyle w:val="Normal"/>
      </w:pPr>
    </w:p>
    <w:p w:rsidR="28C972C2" w:rsidP="28C972C2" w:rsidRDefault="28C972C2" w14:paraId="102FAFEB" w14:textId="2DBB4B15">
      <w:pPr>
        <w:pStyle w:val="Normal"/>
      </w:pPr>
    </w:p>
    <w:p w:rsidR="28C972C2" w:rsidP="28C972C2" w:rsidRDefault="28C972C2" w14:paraId="4CF4AB62" w14:textId="588AA0C2">
      <w:pPr>
        <w:pStyle w:val="Normal"/>
      </w:pPr>
    </w:p>
    <w:p w:rsidR="28C972C2" w:rsidP="28C972C2" w:rsidRDefault="28C972C2" w14:paraId="0B8C6B87" w14:textId="6C86ACD6">
      <w:pPr>
        <w:pStyle w:val="Normal"/>
      </w:pPr>
    </w:p>
    <w:p w:rsidR="28C972C2" w:rsidP="28C972C2" w:rsidRDefault="28C972C2" w14:paraId="59B678EB" w14:textId="68E00666">
      <w:pPr>
        <w:pStyle w:val="Normal"/>
      </w:pPr>
    </w:p>
    <w:p w:rsidR="005A1A21" w:rsidP="005A1A21" w:rsidRDefault="005A1A21" w14:paraId="49C4C062" w14:textId="61F5F290">
      <w:pPr>
        <w:ind w:left="720"/>
      </w:pPr>
      <w:r>
        <w:t>8.0.2 Structures:  Extension Definitions</w:t>
      </w:r>
    </w:p>
    <w:p w:rsidR="005A1A21" w:rsidP="005A1A21" w:rsidRDefault="005A1A21" w14:paraId="647AF947" w14:textId="6344534B">
      <w:pPr>
        <w:pStyle w:val="ListParagraph"/>
        <w:numPr>
          <w:ilvl w:val="0"/>
          <w:numId w:val="8"/>
        </w:numPr>
      </w:pPr>
      <w:r>
        <w:t xml:space="preserve">Why is </w:t>
      </w:r>
      <w:proofErr w:type="spellStart"/>
      <w:r>
        <w:t>CompoundDrugLinkingNumber</w:t>
      </w:r>
      <w:proofErr w:type="spellEnd"/>
      <w:r>
        <w:t xml:space="preserve"> defined?  </w:t>
      </w:r>
    </w:p>
    <w:p w:rsidR="005A1A21" w:rsidP="005A1A21" w:rsidRDefault="005A1A21" w14:paraId="06BD18B4" w14:textId="4B1C90C6">
      <w:pPr>
        <w:ind w:left="1440"/>
        <w:rPr>
          <w:color w:val="FF0000"/>
        </w:rPr>
      </w:pPr>
      <w:r w:rsidRPr="28C972C2" w:rsidR="005A1A21">
        <w:rPr>
          <w:color w:val="FF0000"/>
        </w:rPr>
        <w:t xml:space="preserve">Mary Kay </w:t>
      </w:r>
      <w:r w:rsidRPr="28C972C2" w:rsidR="0671358A">
        <w:rPr>
          <w:color w:val="FF0000"/>
        </w:rPr>
        <w:t xml:space="preserve">will </w:t>
      </w:r>
      <w:r w:rsidRPr="28C972C2" w:rsidR="005A1A21">
        <w:rPr>
          <w:color w:val="FF0000"/>
        </w:rPr>
        <w:t>answer and provide description/definition/comments for this data element</w:t>
      </w:r>
    </w:p>
    <w:p w:rsidR="005A1A21" w:rsidP="005A1A21" w:rsidRDefault="005A1A21" w14:paraId="019CB1CB" w14:textId="1F9324D9">
      <w:pPr>
        <w:pStyle w:val="ListParagraph"/>
        <w:numPr>
          <w:ilvl w:val="0"/>
          <w:numId w:val="8"/>
        </w:numPr>
      </w:pPr>
      <w:r>
        <w:t xml:space="preserve">Update the </w:t>
      </w:r>
      <w:proofErr w:type="spellStart"/>
      <w:r>
        <w:t>estimatedDateOfService</w:t>
      </w:r>
      <w:proofErr w:type="spellEnd"/>
      <w:r>
        <w:t xml:space="preserve"> to include a reference to dates of admission</w:t>
      </w:r>
    </w:p>
    <w:p w:rsidRPr="008B709D" w:rsidR="005A1A21" w:rsidP="005A1A21" w:rsidRDefault="005A1A21" w14:paraId="2B82D0F9" w14:textId="77777777">
      <w:pPr>
        <w:pStyle w:val="ListParagraph"/>
        <w:ind w:left="1440"/>
        <w:rPr>
          <w:color w:val="FF0000"/>
        </w:rPr>
      </w:pPr>
      <w:proofErr w:type="spellStart"/>
      <w:r w:rsidRPr="008B709D">
        <w:rPr>
          <w:color w:val="FF0000"/>
        </w:rPr>
        <w:t>EstimatedDateOfService</w:t>
      </w:r>
      <w:proofErr w:type="spellEnd"/>
      <w:r w:rsidRPr="008B709D">
        <w:rPr>
          <w:color w:val="FF0000"/>
        </w:rPr>
        <w:t xml:space="preserve"> can have the type of Period to specify dates of admission.</w:t>
      </w:r>
    </w:p>
    <w:p w:rsidR="005A1A21" w:rsidP="005A1A21" w:rsidRDefault="005A1A21" w14:paraId="5497B7BF" w14:textId="77777777">
      <w:pPr>
        <w:pStyle w:val="ListParagraph"/>
        <w:ind w:left="1440"/>
      </w:pPr>
    </w:p>
    <w:p w:rsidR="005A1A21" w:rsidP="005A1A21" w:rsidRDefault="005A1A21" w14:paraId="5B710BAD" w14:textId="77777777">
      <w:pPr>
        <w:pStyle w:val="ListParagraph"/>
        <w:numPr>
          <w:ilvl w:val="0"/>
          <w:numId w:val="8"/>
        </w:numPr>
      </w:pPr>
      <w:r>
        <w:t xml:space="preserve">Why is ExpirationDate defined? </w:t>
      </w:r>
    </w:p>
    <w:p w:rsidRPr="00E07DEE" w:rsidR="005A1A21" w:rsidP="005A1A21" w:rsidRDefault="005A1A21" w14:paraId="1AD9DE44" w14:textId="5E7E84F7">
      <w:pPr>
        <w:pStyle w:val="ListParagraph"/>
        <w:ind w:left="1440"/>
        <w:rPr>
          <w:color w:val="FF0000"/>
        </w:rPr>
      </w:pPr>
      <w:r w:rsidRPr="28C972C2" w:rsidR="005A1A21">
        <w:rPr>
          <w:color w:val="FF0000"/>
        </w:rPr>
        <w:t xml:space="preserve">The ExpirationDate is used to indicate that the AEOB is good until </w:t>
      </w:r>
      <w:r w:rsidRPr="28C972C2" w:rsidR="77803E60">
        <w:rPr>
          <w:color w:val="FF0000"/>
        </w:rPr>
        <w:t xml:space="preserve">a </w:t>
      </w:r>
      <w:r w:rsidRPr="28C972C2" w:rsidR="005A1A21">
        <w:rPr>
          <w:color w:val="FF0000"/>
        </w:rPr>
        <w:t>certain date.</w:t>
      </w:r>
    </w:p>
    <w:p w:rsidR="005A1A21" w:rsidP="005A1A21" w:rsidRDefault="005A1A21" w14:paraId="35B085A4" w14:textId="4F3C5D8E">
      <w:pPr>
        <w:pStyle w:val="ListParagraph"/>
        <w:ind w:left="1440"/>
      </w:pPr>
    </w:p>
    <w:p w:rsidR="005A1A21" w:rsidP="005A1A21" w:rsidRDefault="005A1A21" w14:paraId="13E150EB" w14:textId="3B94B10E">
      <w:pPr>
        <w:pStyle w:val="ListParagraph"/>
        <w:numPr>
          <w:ilvl w:val="0"/>
          <w:numId w:val="8"/>
        </w:numPr>
      </w:pPr>
      <w:r>
        <w:t>Suggest ‘coordinating provider’ be renamed to ‘scheduling provider’ to align with the verbiage in the law or add ‘coordinating provider’ to the terms and concepts defining it in relation to the scheduling provider</w:t>
      </w:r>
    </w:p>
    <w:p w:rsidRPr="008B709D" w:rsidR="005A1A21" w:rsidP="005A1A21" w:rsidRDefault="005A1A21" w14:paraId="68B65A8B" w14:textId="77777777">
      <w:pPr>
        <w:pStyle w:val="ListParagraph"/>
        <w:ind w:left="1440"/>
        <w:rPr>
          <w:color w:val="FF0000"/>
        </w:rPr>
      </w:pPr>
      <w:r w:rsidRPr="008B709D">
        <w:rPr>
          <w:color w:val="FF0000"/>
        </w:rPr>
        <w:t>We want to keep ‘coordinating provider’ and will provide description to define it in relation to the scheduling provider.</w:t>
      </w:r>
    </w:p>
    <w:p w:rsidR="005A1A21" w:rsidP="005A1A21" w:rsidRDefault="005A1A21" w14:paraId="36BC746B" w14:textId="77777777">
      <w:pPr>
        <w:pStyle w:val="ListParagraph"/>
        <w:ind w:left="1440"/>
      </w:pPr>
    </w:p>
    <w:p w:rsidR="005A1A21" w:rsidP="005A1A21" w:rsidRDefault="005A1A21" w14:paraId="525930DD" w14:textId="14D83DD2">
      <w:pPr>
        <w:pStyle w:val="ListParagraph"/>
        <w:numPr>
          <w:ilvl w:val="0"/>
          <w:numId w:val="8"/>
        </w:numPr>
      </w:pPr>
      <w:r>
        <w:t xml:space="preserve">What is an </w:t>
      </w:r>
      <w:proofErr w:type="spellStart"/>
      <w:r>
        <w:t>InterTransIdentifier</w:t>
      </w:r>
      <w:proofErr w:type="spellEnd"/>
      <w:r>
        <w:t>?</w:t>
      </w:r>
    </w:p>
    <w:p w:rsidRPr="000D6C4F" w:rsidR="005A1A21" w:rsidP="005A1A21" w:rsidRDefault="005A1A21" w14:paraId="62BC8918" w14:textId="5B058231">
      <w:pPr>
        <w:pStyle w:val="ListParagraph"/>
        <w:ind w:left="1440"/>
        <w:rPr>
          <w:color w:val="FF0000"/>
        </w:rPr>
      </w:pPr>
      <w:r w:rsidRPr="28C972C2" w:rsidR="005A1A21">
        <w:rPr>
          <w:color w:val="FF0000"/>
        </w:rPr>
        <w:t xml:space="preserve">Mary Kay </w:t>
      </w:r>
      <w:r w:rsidRPr="28C972C2" w:rsidR="3EBDBD71">
        <w:rPr>
          <w:color w:val="FF0000"/>
        </w:rPr>
        <w:t xml:space="preserve">will </w:t>
      </w:r>
      <w:r w:rsidRPr="28C972C2" w:rsidR="005A1A21">
        <w:rPr>
          <w:color w:val="FF0000"/>
        </w:rPr>
        <w:t>answer and provide description/definition/comments for this data element</w:t>
      </w:r>
      <w:r w:rsidRPr="28C972C2" w:rsidR="09AB9D49">
        <w:rPr>
          <w:color w:val="FF0000"/>
        </w:rPr>
        <w:t>.</w:t>
      </w:r>
    </w:p>
    <w:p w:rsidRPr="00E07DEE" w:rsidR="005A1A21" w:rsidP="005A1A21" w:rsidRDefault="005A1A21" w14:paraId="75E443B1" w14:textId="77777777">
      <w:pPr>
        <w:pStyle w:val="ListParagraph"/>
        <w:ind w:left="1440"/>
        <w:rPr>
          <w:color w:val="FF0000"/>
        </w:rPr>
      </w:pPr>
    </w:p>
    <w:p w:rsidR="005A1A21" w:rsidP="005A1A21" w:rsidRDefault="005A1A21" w14:paraId="46C853DE" w14:textId="1B8B39E1">
      <w:pPr>
        <w:pStyle w:val="ListParagraph"/>
        <w:numPr>
          <w:ilvl w:val="0"/>
          <w:numId w:val="8"/>
        </w:numPr>
      </w:pPr>
      <w:r>
        <w:t xml:space="preserve">What is the difference between an </w:t>
      </w:r>
      <w:bookmarkStart w:name="_Hlk84497056" w:id="0"/>
      <w:proofErr w:type="spellStart"/>
      <w:r>
        <w:t>EstimatedDateOfService</w:t>
      </w:r>
      <w:bookmarkEnd w:id="0"/>
      <w:proofErr w:type="spellEnd"/>
      <w:r>
        <w:t xml:space="preserve"> and a Proposed Date of </w:t>
      </w:r>
      <w:proofErr w:type="gramStart"/>
      <w:r>
        <w:t>Service</w:t>
      </w:r>
      <w:proofErr w:type="gramEnd"/>
    </w:p>
    <w:p w:rsidRPr="003577A7" w:rsidR="005A1A21" w:rsidP="005A1A21" w:rsidRDefault="005A1A21" w14:paraId="6A48C170" w14:textId="77777777">
      <w:pPr>
        <w:pStyle w:val="ListParagraph"/>
        <w:ind w:left="1440"/>
        <w:rPr>
          <w:color w:val="FF0000"/>
        </w:rPr>
      </w:pPr>
      <w:r w:rsidRPr="003577A7">
        <w:rPr>
          <w:color w:val="FF0000"/>
        </w:rPr>
        <w:t>The two terms mean the same thing. Will renam</w:t>
      </w:r>
      <w:r>
        <w:rPr>
          <w:color w:val="FF0000"/>
        </w:rPr>
        <w:t xml:space="preserve">e </w:t>
      </w:r>
      <w:r w:rsidRPr="000D6C4F">
        <w:rPr>
          <w:color w:val="FF0000"/>
        </w:rPr>
        <w:t>Proposed Date of Service</w:t>
      </w:r>
      <w:r w:rsidRPr="003577A7">
        <w:rPr>
          <w:color w:val="FF0000"/>
        </w:rPr>
        <w:t xml:space="preserve"> </w:t>
      </w:r>
      <w:r>
        <w:rPr>
          <w:color w:val="FF0000"/>
        </w:rPr>
        <w:t xml:space="preserve">to </w:t>
      </w:r>
      <w:proofErr w:type="spellStart"/>
      <w:r w:rsidRPr="000D6C4F">
        <w:rPr>
          <w:color w:val="FF0000"/>
        </w:rPr>
        <w:t>EstimatedDateOfService</w:t>
      </w:r>
      <w:proofErr w:type="spellEnd"/>
      <w:r>
        <w:rPr>
          <w:color w:val="FF0000"/>
        </w:rPr>
        <w:t>.</w:t>
      </w:r>
    </w:p>
    <w:p w:rsidR="005A1A21" w:rsidP="005A1A21" w:rsidRDefault="005A1A21" w14:paraId="0431CA3F" w14:textId="77777777">
      <w:pPr>
        <w:pStyle w:val="ListParagraph"/>
        <w:ind w:left="1440"/>
      </w:pPr>
    </w:p>
    <w:p w:rsidR="005A1A21" w:rsidP="005A1A21" w:rsidRDefault="005A1A21" w14:paraId="47382B3A" w14:textId="5E75410E">
      <w:pPr>
        <w:pStyle w:val="ListParagraph"/>
        <w:numPr>
          <w:ilvl w:val="0"/>
          <w:numId w:val="8"/>
        </w:numPr>
      </w:pPr>
      <w:r>
        <w:t xml:space="preserve">Delete extension </w:t>
      </w:r>
      <w:proofErr w:type="spellStart"/>
      <w:r>
        <w:t>ProductOrServiceBillingCode</w:t>
      </w:r>
      <w:proofErr w:type="spellEnd"/>
      <w:r>
        <w:t xml:space="preserve">.  Use </w:t>
      </w:r>
      <w:proofErr w:type="spellStart"/>
      <w:proofErr w:type="gramStart"/>
      <w:r>
        <w:t>Claim.item.productOrService</w:t>
      </w:r>
      <w:proofErr w:type="spellEnd"/>
      <w:proofErr w:type="gramEnd"/>
    </w:p>
    <w:p w:rsidRPr="002E50D4" w:rsidR="005A1A21" w:rsidP="005A1A21" w:rsidRDefault="005A1A21" w14:paraId="7D58BF3B" w14:textId="77777777">
      <w:pPr>
        <w:pStyle w:val="ListParagraph"/>
        <w:ind w:left="1440"/>
        <w:rPr>
          <w:color w:val="FF0000"/>
        </w:rPr>
      </w:pPr>
      <w:r>
        <w:rPr>
          <w:color w:val="FF0000"/>
        </w:rPr>
        <w:t>Will delete as suggested.</w:t>
      </w:r>
    </w:p>
    <w:p w:rsidR="005A1A21" w:rsidP="005A1A21" w:rsidRDefault="005A1A21" w14:paraId="50AD3E3B" w14:textId="77777777">
      <w:pPr>
        <w:pStyle w:val="ListParagraph"/>
        <w:ind w:left="1440"/>
      </w:pPr>
    </w:p>
    <w:p w:rsidR="005A1A21" w:rsidP="005A1A21" w:rsidRDefault="005A1A21" w14:paraId="39978B26" w14:textId="511FD156">
      <w:pPr>
        <w:pStyle w:val="ListParagraph"/>
        <w:numPr>
          <w:ilvl w:val="0"/>
          <w:numId w:val="8"/>
        </w:numPr>
      </w:pPr>
      <w:r>
        <w:t xml:space="preserve">Delete extension </w:t>
      </w:r>
      <w:proofErr w:type="spellStart"/>
      <w:r>
        <w:t>ProductOrServiceOtherCharge</w:t>
      </w:r>
      <w:proofErr w:type="spellEnd"/>
      <w:r>
        <w:t xml:space="preserve">.  Use </w:t>
      </w:r>
      <w:proofErr w:type="spellStart"/>
      <w:proofErr w:type="gramStart"/>
      <w:r>
        <w:t>Claim.item.unitPrice</w:t>
      </w:r>
      <w:proofErr w:type="spellEnd"/>
      <w:proofErr w:type="gramEnd"/>
    </w:p>
    <w:p w:rsidRPr="002E50D4" w:rsidR="005A1A21" w:rsidP="005A1A21" w:rsidRDefault="005A1A21" w14:paraId="2DF5A87A" w14:textId="77777777">
      <w:pPr>
        <w:pStyle w:val="ListParagraph"/>
        <w:ind w:left="1440"/>
        <w:rPr>
          <w:color w:val="FF0000"/>
        </w:rPr>
      </w:pPr>
      <w:bookmarkStart w:name="_Hlk84497239" w:id="1"/>
      <w:r>
        <w:rPr>
          <w:color w:val="FF0000"/>
        </w:rPr>
        <w:t>Will delete as suggested</w:t>
      </w:r>
      <w:bookmarkEnd w:id="1"/>
      <w:r w:rsidRPr="002E50D4">
        <w:rPr>
          <w:color w:val="FF0000"/>
        </w:rPr>
        <w:t>.</w:t>
      </w:r>
    </w:p>
    <w:p w:rsidR="005A1A21" w:rsidP="005A1A21" w:rsidRDefault="005A1A21" w14:paraId="444D2C68" w14:textId="77777777">
      <w:pPr>
        <w:pStyle w:val="ListParagraph"/>
        <w:ind w:left="1440"/>
      </w:pPr>
    </w:p>
    <w:p w:rsidR="005A1A21" w:rsidP="005A1A21" w:rsidRDefault="005A1A21" w14:paraId="4CAEBF49" w14:textId="12F41966">
      <w:pPr>
        <w:pStyle w:val="ListParagraph"/>
        <w:numPr>
          <w:ilvl w:val="0"/>
          <w:numId w:val="8"/>
        </w:numPr>
      </w:pPr>
      <w:r>
        <w:t>Delete extension Provider Contracting Rate – the payer has the provider’s contracted amount in their records</w:t>
      </w:r>
    </w:p>
    <w:p w:rsidRPr="00014FD7" w:rsidR="005A1A21" w:rsidP="005A1A21" w:rsidRDefault="005A1A21" w14:paraId="1C6254CA" w14:textId="77777777">
      <w:pPr>
        <w:pStyle w:val="ListParagraph"/>
        <w:ind w:left="1440"/>
        <w:rPr>
          <w:color w:val="FF0000"/>
        </w:rPr>
      </w:pPr>
      <w:r w:rsidRPr="001E191F">
        <w:rPr>
          <w:color w:val="FF0000"/>
        </w:rPr>
        <w:t>Will delete as suggested</w:t>
      </w:r>
      <w:r>
        <w:rPr>
          <w:color w:val="FF0000"/>
        </w:rPr>
        <w:t>.</w:t>
      </w:r>
    </w:p>
    <w:p w:rsidR="005A1A21" w:rsidP="005A1A21" w:rsidRDefault="005A1A21" w14:paraId="035B7C7D" w14:textId="77777777">
      <w:pPr>
        <w:pStyle w:val="ListParagraph"/>
        <w:ind w:left="1440"/>
      </w:pPr>
    </w:p>
    <w:p w:rsidR="005A1A21" w:rsidP="005A1A21" w:rsidRDefault="005A1A21" w14:paraId="53D61F2C" w14:textId="77777777">
      <w:pPr>
        <w:pStyle w:val="ListParagraph"/>
        <w:numPr>
          <w:ilvl w:val="0"/>
          <w:numId w:val="8"/>
        </w:numPr>
      </w:pPr>
      <w:r>
        <w:t>Delete extension Provider Contracting Status as the payer will make that determination as they adjudicate the claim</w:t>
      </w:r>
    </w:p>
    <w:p w:rsidR="005A1A21" w:rsidP="005A1A21" w:rsidRDefault="005A1A21" w14:paraId="509BF027" w14:textId="77777777">
      <w:pPr>
        <w:pStyle w:val="ListParagraph"/>
        <w:ind w:left="1440"/>
        <w:rPr>
          <w:color w:val="FF0000"/>
        </w:rPr>
      </w:pPr>
      <w:r w:rsidRPr="001E191F">
        <w:rPr>
          <w:color w:val="FF0000"/>
        </w:rPr>
        <w:t>Will delete as suggested</w:t>
      </w:r>
      <w:r>
        <w:rPr>
          <w:color w:val="FF0000"/>
        </w:rPr>
        <w:t>.</w:t>
      </w:r>
    </w:p>
    <w:p w:rsidRPr="00014FD7" w:rsidR="005A1A21" w:rsidP="005A1A21" w:rsidRDefault="005A1A21" w14:paraId="0958FAE3" w14:textId="77777777">
      <w:pPr>
        <w:pStyle w:val="ListParagraph"/>
        <w:ind w:left="1440"/>
        <w:rPr>
          <w:color w:val="FF0000"/>
        </w:rPr>
      </w:pPr>
    </w:p>
    <w:p w:rsidR="005A1A21" w:rsidP="005A1A21" w:rsidRDefault="005A1A21" w14:paraId="56EC4731" w14:textId="1C8E91FF">
      <w:pPr>
        <w:pStyle w:val="ListParagraph"/>
        <w:numPr>
          <w:ilvl w:val="0"/>
          <w:numId w:val="8"/>
        </w:numPr>
      </w:pPr>
      <w:r>
        <w:t xml:space="preserve">Delete extension </w:t>
      </w:r>
      <w:proofErr w:type="spellStart"/>
      <w:r>
        <w:t>ProviderGrouperMethodology</w:t>
      </w:r>
      <w:proofErr w:type="spellEnd"/>
      <w:r>
        <w:t xml:space="preserve"> … it’s not required for the payer to process the Advanced EOB Request.  </w:t>
      </w:r>
    </w:p>
    <w:p w:rsidR="005A1A21" w:rsidP="005A1A21" w:rsidRDefault="005A1A21" w14:paraId="7848CE24" w14:textId="77777777">
      <w:pPr>
        <w:pStyle w:val="ListParagraph"/>
        <w:ind w:left="1440"/>
        <w:rPr>
          <w:color w:val="FF0000"/>
        </w:rPr>
      </w:pPr>
      <w:r>
        <w:rPr>
          <w:color w:val="FF0000"/>
        </w:rPr>
        <w:t>This extension is added to the GFE profile in response to comments from the PCT community. We believe that this extension does provide a useful purpose.</w:t>
      </w:r>
    </w:p>
    <w:p w:rsidR="1DD29868" w:rsidP="1DD29868" w:rsidRDefault="1DD29868" w14:paraId="3DE4673D" w14:textId="0671EA55">
      <w:pPr>
        <w:pStyle w:val="ListParagraph"/>
        <w:ind w:left="1440"/>
      </w:pPr>
    </w:p>
    <w:p w:rsidR="00B86519" w:rsidP="00B86519" w:rsidRDefault="00B86519" w14:paraId="6F2AB9C9" w14:textId="77777777">
      <w:pPr>
        <w:ind w:left="720"/>
      </w:pPr>
      <w:r>
        <w:t>8.0.3 Structures:  Value Sets / 8.0.4 Structures:  Code Systems</w:t>
      </w:r>
    </w:p>
    <w:p w:rsidR="00B86519" w:rsidP="00B86519" w:rsidRDefault="00B86519" w14:paraId="55264370" w14:textId="77777777">
      <w:pPr>
        <w:pStyle w:val="ListParagraph"/>
        <w:numPr>
          <w:ilvl w:val="1"/>
          <w:numId w:val="9"/>
        </w:numPr>
      </w:pPr>
      <w:r>
        <w:t>Delete PCT Coverage Copay type Value Set / Code System – it’s not required for the payer to adjudicate the Advanced EOB Request</w:t>
      </w:r>
      <w:r>
        <w:tab/>
      </w:r>
    </w:p>
    <w:p w:rsidR="00B86519" w:rsidP="00B86519" w:rsidRDefault="00B86519" w14:paraId="37F5FD6C" w14:textId="00FBD859">
      <w:pPr>
        <w:pStyle w:val="ListParagraph"/>
        <w:ind w:left="1440"/>
        <w:rPr>
          <w:color w:val="FF0000"/>
        </w:rPr>
      </w:pPr>
      <w:r w:rsidRPr="28C972C2" w:rsidR="00B86519">
        <w:rPr>
          <w:color w:val="FF0000"/>
        </w:rPr>
        <w:t xml:space="preserve">We need the </w:t>
      </w:r>
      <w:r w:rsidRPr="28C972C2" w:rsidR="00B86519">
        <w:rPr>
          <w:color w:val="FF0000"/>
        </w:rPr>
        <w:t>PCT Coverage Copay type Value Set</w:t>
      </w:r>
      <w:r w:rsidRPr="28C972C2" w:rsidR="00B86519">
        <w:rPr>
          <w:color w:val="FF0000"/>
        </w:rPr>
        <w:t xml:space="preserve"> to include new codes for defining the different copay situations for individual or family.</w:t>
      </w:r>
    </w:p>
    <w:p w:rsidR="00B86519" w:rsidP="00B86519" w:rsidRDefault="00B86519" w14:paraId="7307FAFD" w14:textId="77777777">
      <w:pPr>
        <w:pStyle w:val="ListParagraph"/>
        <w:ind w:left="1440"/>
        <w:rPr>
          <w:color w:val="FF0000"/>
        </w:rPr>
      </w:pPr>
    </w:p>
    <w:p w:rsidR="00B86519" w:rsidP="00B86519" w:rsidRDefault="00B86519" w14:paraId="1434A530" w14:textId="77777777">
      <w:pPr>
        <w:pStyle w:val="ListParagraph"/>
        <w:numPr>
          <w:ilvl w:val="1"/>
          <w:numId w:val="9"/>
        </w:numPr>
      </w:pPr>
      <w:r>
        <w:t>Delete PCT GFE Billing Code Value Set / Code System.  The Value Sets that should be used for billing are the industry standard codes, i.e., CPT / HCPCS / ICD Diagnosis / ICD Procedure / DRG, etc.</w:t>
      </w:r>
    </w:p>
    <w:p w:rsidR="00B86519" w:rsidP="00B86519" w:rsidRDefault="00B86519" w14:paraId="3C98F5F9" w14:textId="52C0F7CF">
      <w:pPr>
        <w:pStyle w:val="ListParagraph"/>
        <w:ind w:left="1440"/>
        <w:rPr>
          <w:color w:val="FF0000"/>
        </w:rPr>
      </w:pPr>
      <w:r w:rsidRPr="28C972C2" w:rsidR="00B86519">
        <w:rPr>
          <w:color w:val="FF0000"/>
        </w:rPr>
        <w:t xml:space="preserve">We are still working on what value sets we want to create/use for the data elements. </w:t>
      </w:r>
      <w:r w:rsidRPr="28C972C2" w:rsidR="47DA8972">
        <w:rPr>
          <w:color w:val="FF0000"/>
        </w:rPr>
        <w:t>We w</w:t>
      </w:r>
      <w:r w:rsidRPr="28C972C2" w:rsidR="00B86519">
        <w:rPr>
          <w:color w:val="FF0000"/>
        </w:rPr>
        <w:t>ill take your suggestion into consideration.</w:t>
      </w:r>
    </w:p>
    <w:p w:rsidR="28C972C2" w:rsidP="28C972C2" w:rsidRDefault="28C972C2" w14:paraId="71ECCE7A" w14:textId="213BAC7B">
      <w:pPr>
        <w:pStyle w:val="ListParagraph"/>
        <w:ind w:left="1440"/>
        <w:rPr>
          <w:color w:val="FF0000"/>
        </w:rPr>
      </w:pPr>
    </w:p>
    <w:p w:rsidR="00B86519" w:rsidP="00B86519" w:rsidRDefault="00B86519" w14:paraId="53211C03" w14:textId="77777777">
      <w:pPr>
        <w:ind w:left="720"/>
      </w:pPr>
      <w:r>
        <w:t xml:space="preserve">8.0.5 Example:  Example Instances </w:t>
      </w:r>
    </w:p>
    <w:p w:rsidRPr="00B86519" w:rsidR="00727FF4" w:rsidP="28C972C2" w:rsidRDefault="00B86519" w14:paraId="4007069E" w14:textId="753D7F66">
      <w:pPr>
        <w:ind w:left="1080"/>
        <w:rPr>
          <w:color w:val="FF0000"/>
        </w:rPr>
      </w:pPr>
      <w:r w:rsidR="00B86519">
        <w:rPr/>
        <w:t>8.40.1 Example Claim: PCT-Good-Faith-Estimate-1 – the example is incomplete as it doesn’t include the billing codes, diagnosis codes or charges.</w:t>
      </w:r>
    </w:p>
    <w:p w:rsidRPr="00B86519" w:rsidR="00727FF4" w:rsidP="00B86519" w:rsidRDefault="00B86519" w14:paraId="5FBB7507" w14:textId="0608C00E">
      <w:pPr>
        <w:ind w:left="1080"/>
        <w:rPr>
          <w:color w:val="FF0000"/>
        </w:rPr>
      </w:pPr>
      <w:r w:rsidRPr="28C972C2" w:rsidR="00B86519">
        <w:rPr>
          <w:color w:val="FF0000"/>
        </w:rPr>
        <w:t>The example</w:t>
      </w:r>
      <w:r w:rsidRPr="28C972C2" w:rsidR="00B86519">
        <w:rPr>
          <w:color w:val="FF0000"/>
        </w:rPr>
        <w:t xml:space="preserve"> is still under development.</w:t>
      </w:r>
    </w:p>
    <w:sectPr w:rsidRPr="00B86519" w:rsidR="00727FF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1F7" w:rsidP="00C03378" w:rsidRDefault="007211F7" w14:paraId="32805878" w14:textId="77777777">
      <w:pPr>
        <w:spacing w:after="0" w:line="240" w:lineRule="auto"/>
      </w:pPr>
      <w:r>
        <w:separator/>
      </w:r>
    </w:p>
  </w:endnote>
  <w:endnote w:type="continuationSeparator" w:id="0">
    <w:p w:rsidR="007211F7" w:rsidP="00C03378" w:rsidRDefault="007211F7" w14:paraId="19C2C074" w14:textId="77777777">
      <w:pPr>
        <w:spacing w:after="0" w:line="240" w:lineRule="auto"/>
      </w:pPr>
      <w:r>
        <w:continuationSeparator/>
      </w:r>
    </w:p>
  </w:endnote>
  <w:endnote w:type="continuationNotice" w:id="1">
    <w:p w:rsidR="00943893" w:rsidRDefault="00943893" w14:paraId="164511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1F7" w:rsidP="00C03378" w:rsidRDefault="007211F7" w14:paraId="75B01DE8" w14:textId="77777777">
      <w:pPr>
        <w:spacing w:after="0" w:line="240" w:lineRule="auto"/>
      </w:pPr>
      <w:r>
        <w:separator/>
      </w:r>
    </w:p>
  </w:footnote>
  <w:footnote w:type="continuationSeparator" w:id="0">
    <w:p w:rsidR="007211F7" w:rsidP="00C03378" w:rsidRDefault="007211F7" w14:paraId="227ADD36" w14:textId="77777777">
      <w:pPr>
        <w:spacing w:after="0" w:line="240" w:lineRule="auto"/>
      </w:pPr>
      <w:r>
        <w:continuationSeparator/>
      </w:r>
    </w:p>
  </w:footnote>
  <w:footnote w:type="continuationNotice" w:id="1">
    <w:p w:rsidR="00943893" w:rsidRDefault="00943893" w14:paraId="0CABF95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80C"/>
    <w:multiLevelType w:val="hybridMultilevel"/>
    <w:tmpl w:val="99B2C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272F1"/>
    <w:multiLevelType w:val="hybridMultilevel"/>
    <w:tmpl w:val="9CE23692"/>
    <w:lvl w:ilvl="0" w:tplc="85546A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F1233"/>
    <w:multiLevelType w:val="hybridMultilevel"/>
    <w:tmpl w:val="BCD864BA"/>
    <w:lvl w:ilvl="0" w:tplc="DA4889A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52951"/>
    <w:multiLevelType w:val="hybridMultilevel"/>
    <w:tmpl w:val="3070BCA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2767A"/>
    <w:multiLevelType w:val="hybridMultilevel"/>
    <w:tmpl w:val="CF269448"/>
    <w:lvl w:ilvl="0" w:tplc="527A8B7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03D81"/>
    <w:multiLevelType w:val="hybridMultilevel"/>
    <w:tmpl w:val="6E88C730"/>
    <w:lvl w:ilvl="0" w:tplc="9FC8249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9F1F4C"/>
    <w:multiLevelType w:val="hybridMultilevel"/>
    <w:tmpl w:val="BBDA191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66298"/>
    <w:multiLevelType w:val="hybridMultilevel"/>
    <w:tmpl w:val="34CA759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7A18F4"/>
    <w:multiLevelType w:val="hybridMultilevel"/>
    <w:tmpl w:val="FBA8ECCC"/>
    <w:lvl w:ilvl="0" w:tplc="E9AE47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7"/>
    <w:rsid w:val="0002575F"/>
    <w:rsid w:val="00035700"/>
    <w:rsid w:val="00073909"/>
    <w:rsid w:val="00192E3B"/>
    <w:rsid w:val="00253C21"/>
    <w:rsid w:val="00276D1E"/>
    <w:rsid w:val="00286BC3"/>
    <w:rsid w:val="002D48D4"/>
    <w:rsid w:val="002D68FA"/>
    <w:rsid w:val="00324189"/>
    <w:rsid w:val="003304FB"/>
    <w:rsid w:val="0034038F"/>
    <w:rsid w:val="00389B08"/>
    <w:rsid w:val="003E602F"/>
    <w:rsid w:val="004279CA"/>
    <w:rsid w:val="0043498C"/>
    <w:rsid w:val="004A4FD2"/>
    <w:rsid w:val="005934D4"/>
    <w:rsid w:val="0059522F"/>
    <w:rsid w:val="005A1A21"/>
    <w:rsid w:val="005A5BBB"/>
    <w:rsid w:val="005A74D2"/>
    <w:rsid w:val="006172D5"/>
    <w:rsid w:val="006228CC"/>
    <w:rsid w:val="006407CD"/>
    <w:rsid w:val="006C0526"/>
    <w:rsid w:val="006F66BA"/>
    <w:rsid w:val="007211F7"/>
    <w:rsid w:val="00727FF4"/>
    <w:rsid w:val="00775776"/>
    <w:rsid w:val="007826D4"/>
    <w:rsid w:val="007F43BF"/>
    <w:rsid w:val="0080915C"/>
    <w:rsid w:val="00817C0A"/>
    <w:rsid w:val="0085335E"/>
    <w:rsid w:val="00876680"/>
    <w:rsid w:val="00943893"/>
    <w:rsid w:val="00957B6E"/>
    <w:rsid w:val="00964188"/>
    <w:rsid w:val="009B4CD5"/>
    <w:rsid w:val="009E5889"/>
    <w:rsid w:val="00A026CF"/>
    <w:rsid w:val="00A0616A"/>
    <w:rsid w:val="00A20BF4"/>
    <w:rsid w:val="00A21648"/>
    <w:rsid w:val="00AEB336"/>
    <w:rsid w:val="00B37CA3"/>
    <w:rsid w:val="00B53584"/>
    <w:rsid w:val="00B56888"/>
    <w:rsid w:val="00B848A3"/>
    <w:rsid w:val="00B86519"/>
    <w:rsid w:val="00C03378"/>
    <w:rsid w:val="00C443A5"/>
    <w:rsid w:val="00CE0F5F"/>
    <w:rsid w:val="00CE67C9"/>
    <w:rsid w:val="00D416C7"/>
    <w:rsid w:val="00D763B4"/>
    <w:rsid w:val="00DC087E"/>
    <w:rsid w:val="00E86515"/>
    <w:rsid w:val="00FD0F0F"/>
    <w:rsid w:val="00FE1C3A"/>
    <w:rsid w:val="01CED55C"/>
    <w:rsid w:val="01DF55EE"/>
    <w:rsid w:val="0201C1EF"/>
    <w:rsid w:val="022CE915"/>
    <w:rsid w:val="02479478"/>
    <w:rsid w:val="02574C49"/>
    <w:rsid w:val="02DE3998"/>
    <w:rsid w:val="0309649D"/>
    <w:rsid w:val="037BE094"/>
    <w:rsid w:val="03A231EA"/>
    <w:rsid w:val="04A3540C"/>
    <w:rsid w:val="04A997FC"/>
    <w:rsid w:val="0506761E"/>
    <w:rsid w:val="052C1770"/>
    <w:rsid w:val="0575C4AE"/>
    <w:rsid w:val="059EB6DC"/>
    <w:rsid w:val="05F7F53F"/>
    <w:rsid w:val="05FA3911"/>
    <w:rsid w:val="0612D9E8"/>
    <w:rsid w:val="065FCF18"/>
    <w:rsid w:val="066CF943"/>
    <w:rsid w:val="0671358A"/>
    <w:rsid w:val="06CD54FF"/>
    <w:rsid w:val="06E3EE22"/>
    <w:rsid w:val="06E9FB07"/>
    <w:rsid w:val="07005A38"/>
    <w:rsid w:val="0711950F"/>
    <w:rsid w:val="075EA271"/>
    <w:rsid w:val="0760EFE6"/>
    <w:rsid w:val="07E2E254"/>
    <w:rsid w:val="083EBBF4"/>
    <w:rsid w:val="0863B832"/>
    <w:rsid w:val="08755CB2"/>
    <w:rsid w:val="08AF6D54"/>
    <w:rsid w:val="0961787A"/>
    <w:rsid w:val="0981CE50"/>
    <w:rsid w:val="09AB9D49"/>
    <w:rsid w:val="0A01F6C5"/>
    <w:rsid w:val="0A3FE880"/>
    <w:rsid w:val="0A98FCB0"/>
    <w:rsid w:val="0B6ED8A5"/>
    <w:rsid w:val="0BD7540F"/>
    <w:rsid w:val="0BDA5981"/>
    <w:rsid w:val="0BDBB8E1"/>
    <w:rsid w:val="0BECF3B8"/>
    <w:rsid w:val="0BF9A093"/>
    <w:rsid w:val="0C2659AD"/>
    <w:rsid w:val="0C959D14"/>
    <w:rsid w:val="0C99193C"/>
    <w:rsid w:val="0D7B1EA1"/>
    <w:rsid w:val="0D916D9B"/>
    <w:rsid w:val="0D99FEF0"/>
    <w:rsid w:val="0E357ABF"/>
    <w:rsid w:val="0E9740E0"/>
    <w:rsid w:val="0EBB54E6"/>
    <w:rsid w:val="0EBE933B"/>
    <w:rsid w:val="0F35220A"/>
    <w:rsid w:val="0F37CB4B"/>
    <w:rsid w:val="0F56745B"/>
    <w:rsid w:val="0F8ABA48"/>
    <w:rsid w:val="0FFA26CF"/>
    <w:rsid w:val="10701FD7"/>
    <w:rsid w:val="111DEAB1"/>
    <w:rsid w:val="119A5FC6"/>
    <w:rsid w:val="124AFA65"/>
    <w:rsid w:val="127EAAEA"/>
    <w:rsid w:val="12E8B771"/>
    <w:rsid w:val="12EDA743"/>
    <w:rsid w:val="13547F84"/>
    <w:rsid w:val="1388B70D"/>
    <w:rsid w:val="13AB2CBB"/>
    <w:rsid w:val="13B6D3F1"/>
    <w:rsid w:val="14233180"/>
    <w:rsid w:val="1485C751"/>
    <w:rsid w:val="1535C245"/>
    <w:rsid w:val="1580D2D5"/>
    <w:rsid w:val="15BF01E1"/>
    <w:rsid w:val="15CFB077"/>
    <w:rsid w:val="15F05BA8"/>
    <w:rsid w:val="17B6708A"/>
    <w:rsid w:val="17C95C6E"/>
    <w:rsid w:val="17CA15C4"/>
    <w:rsid w:val="17D820E7"/>
    <w:rsid w:val="181002B6"/>
    <w:rsid w:val="18423C61"/>
    <w:rsid w:val="18666B7E"/>
    <w:rsid w:val="18C26AF2"/>
    <w:rsid w:val="18CC8832"/>
    <w:rsid w:val="18D4B9D5"/>
    <w:rsid w:val="18F6A2A3"/>
    <w:rsid w:val="191C8A4D"/>
    <w:rsid w:val="197BAE22"/>
    <w:rsid w:val="19A69D97"/>
    <w:rsid w:val="19B7832B"/>
    <w:rsid w:val="1A023BDF"/>
    <w:rsid w:val="1A093368"/>
    <w:rsid w:val="1A713BF3"/>
    <w:rsid w:val="1A9A8889"/>
    <w:rsid w:val="1AAA7DF7"/>
    <w:rsid w:val="1AD28108"/>
    <w:rsid w:val="1AF508D5"/>
    <w:rsid w:val="1AFD9986"/>
    <w:rsid w:val="1B0231CE"/>
    <w:rsid w:val="1B0643AC"/>
    <w:rsid w:val="1B1B5A2B"/>
    <w:rsid w:val="1B73C198"/>
    <w:rsid w:val="1BC00F66"/>
    <w:rsid w:val="1BCD286D"/>
    <w:rsid w:val="1C7E09E5"/>
    <w:rsid w:val="1C7F9E5F"/>
    <w:rsid w:val="1CA2140D"/>
    <w:rsid w:val="1CC658C0"/>
    <w:rsid w:val="1CE2243D"/>
    <w:rsid w:val="1D0F91F9"/>
    <w:rsid w:val="1D289752"/>
    <w:rsid w:val="1D42E41C"/>
    <w:rsid w:val="1D4D9F3E"/>
    <w:rsid w:val="1DD29868"/>
    <w:rsid w:val="1E126E43"/>
    <w:rsid w:val="1E767E39"/>
    <w:rsid w:val="1EA67739"/>
    <w:rsid w:val="1EF1B14C"/>
    <w:rsid w:val="1F0287D8"/>
    <w:rsid w:val="1F1AC83C"/>
    <w:rsid w:val="1F5D2DF2"/>
    <w:rsid w:val="2060979C"/>
    <w:rsid w:val="20911645"/>
    <w:rsid w:val="20E6286F"/>
    <w:rsid w:val="2139E725"/>
    <w:rsid w:val="21758530"/>
    <w:rsid w:val="21B1AF7C"/>
    <w:rsid w:val="21E3031C"/>
    <w:rsid w:val="22221315"/>
    <w:rsid w:val="2263257B"/>
    <w:rsid w:val="227109A8"/>
    <w:rsid w:val="22C099C1"/>
    <w:rsid w:val="22C295E0"/>
    <w:rsid w:val="22D5B786"/>
    <w:rsid w:val="230D43B3"/>
    <w:rsid w:val="23A91E25"/>
    <w:rsid w:val="255847B0"/>
    <w:rsid w:val="259D384D"/>
    <w:rsid w:val="2606794B"/>
    <w:rsid w:val="266D50B0"/>
    <w:rsid w:val="26C0674F"/>
    <w:rsid w:val="2714EF2D"/>
    <w:rsid w:val="2730B9E2"/>
    <w:rsid w:val="27679B68"/>
    <w:rsid w:val="280F29E8"/>
    <w:rsid w:val="28191327"/>
    <w:rsid w:val="28A61ADC"/>
    <w:rsid w:val="28C972C2"/>
    <w:rsid w:val="28F2D561"/>
    <w:rsid w:val="294346F7"/>
    <w:rsid w:val="294460A0"/>
    <w:rsid w:val="2944F90A"/>
    <w:rsid w:val="29D1B14B"/>
    <w:rsid w:val="29FFFD1F"/>
    <w:rsid w:val="2AE7F37F"/>
    <w:rsid w:val="2B358FD3"/>
    <w:rsid w:val="2B482039"/>
    <w:rsid w:val="2BF7020C"/>
    <w:rsid w:val="2C10A9F7"/>
    <w:rsid w:val="2C503A99"/>
    <w:rsid w:val="2C6B5EF5"/>
    <w:rsid w:val="2C7C99CC"/>
    <w:rsid w:val="2C87E6E8"/>
    <w:rsid w:val="2CC972AE"/>
    <w:rsid w:val="2CDAAD85"/>
    <w:rsid w:val="2CFDDFF0"/>
    <w:rsid w:val="2D27F2B7"/>
    <w:rsid w:val="2E066BE4"/>
    <w:rsid w:val="2E186A2D"/>
    <w:rsid w:val="2E5BF5BE"/>
    <w:rsid w:val="2E691EB7"/>
    <w:rsid w:val="2E7FC0FB"/>
    <w:rsid w:val="2E8FA643"/>
    <w:rsid w:val="2E98E958"/>
    <w:rsid w:val="2ECB444E"/>
    <w:rsid w:val="2F2FBBEF"/>
    <w:rsid w:val="2FB43A8E"/>
    <w:rsid w:val="2FC8AEFD"/>
    <w:rsid w:val="2FF1DC9F"/>
    <w:rsid w:val="30A7B436"/>
    <w:rsid w:val="30AD4BB3"/>
    <w:rsid w:val="3157F875"/>
    <w:rsid w:val="31993DC3"/>
    <w:rsid w:val="321D6FE5"/>
    <w:rsid w:val="326C31BB"/>
    <w:rsid w:val="328705CF"/>
    <w:rsid w:val="33253BA2"/>
    <w:rsid w:val="333C8FDA"/>
    <w:rsid w:val="3341154F"/>
    <w:rsid w:val="3371BA6A"/>
    <w:rsid w:val="3379B388"/>
    <w:rsid w:val="340C3DE0"/>
    <w:rsid w:val="347670DA"/>
    <w:rsid w:val="3487ABB1"/>
    <w:rsid w:val="348F9937"/>
    <w:rsid w:val="34D48493"/>
    <w:rsid w:val="3504BF98"/>
    <w:rsid w:val="35B2FAD1"/>
    <w:rsid w:val="368AD2E0"/>
    <w:rsid w:val="369756BB"/>
    <w:rsid w:val="3713E217"/>
    <w:rsid w:val="37529E2D"/>
    <w:rsid w:val="37B63479"/>
    <w:rsid w:val="37ECDB4B"/>
    <w:rsid w:val="37F15902"/>
    <w:rsid w:val="381412DB"/>
    <w:rsid w:val="3829BFD7"/>
    <w:rsid w:val="38572D93"/>
    <w:rsid w:val="3891A6DC"/>
    <w:rsid w:val="38A1D48F"/>
    <w:rsid w:val="38D58514"/>
    <w:rsid w:val="39404E15"/>
    <w:rsid w:val="39541EAC"/>
    <w:rsid w:val="39630A5A"/>
    <w:rsid w:val="396D4DA8"/>
    <w:rsid w:val="39D1358D"/>
    <w:rsid w:val="3AD1E371"/>
    <w:rsid w:val="3AFEDABB"/>
    <w:rsid w:val="3B33A992"/>
    <w:rsid w:val="3B94E9E0"/>
    <w:rsid w:val="3BB034EE"/>
    <w:rsid w:val="3C03C1F5"/>
    <w:rsid w:val="3C03E109"/>
    <w:rsid w:val="3C5C62D3"/>
    <w:rsid w:val="3D20F515"/>
    <w:rsid w:val="3D645DCD"/>
    <w:rsid w:val="3D88190E"/>
    <w:rsid w:val="3DA4E459"/>
    <w:rsid w:val="3DBE0CB6"/>
    <w:rsid w:val="3E4FBD1C"/>
    <w:rsid w:val="3E6B3A04"/>
    <w:rsid w:val="3EA2A755"/>
    <w:rsid w:val="3EBDBD71"/>
    <w:rsid w:val="3EC83FBB"/>
    <w:rsid w:val="3EDE0B98"/>
    <w:rsid w:val="3EF606E7"/>
    <w:rsid w:val="3F1416ED"/>
    <w:rsid w:val="3F43E176"/>
    <w:rsid w:val="3F8064A3"/>
    <w:rsid w:val="40097269"/>
    <w:rsid w:val="402A1BC4"/>
    <w:rsid w:val="4034D1BC"/>
    <w:rsid w:val="4040ED27"/>
    <w:rsid w:val="41804D13"/>
    <w:rsid w:val="41AE72DD"/>
    <w:rsid w:val="41B779C0"/>
    <w:rsid w:val="41FA1713"/>
    <w:rsid w:val="42089238"/>
    <w:rsid w:val="42246BE5"/>
    <w:rsid w:val="427C675A"/>
    <w:rsid w:val="42CD56EA"/>
    <w:rsid w:val="431C1D74"/>
    <w:rsid w:val="4344BA40"/>
    <w:rsid w:val="43A39E64"/>
    <w:rsid w:val="43CC4371"/>
    <w:rsid w:val="440A891F"/>
    <w:rsid w:val="441425DD"/>
    <w:rsid w:val="442D4E3A"/>
    <w:rsid w:val="4464A87A"/>
    <w:rsid w:val="449EC578"/>
    <w:rsid w:val="44B7BF19"/>
    <w:rsid w:val="450D13CF"/>
    <w:rsid w:val="454824FA"/>
    <w:rsid w:val="463A95D9"/>
    <w:rsid w:val="4678DB2B"/>
    <w:rsid w:val="46AE0B38"/>
    <w:rsid w:val="46B02EAB"/>
    <w:rsid w:val="46D351A0"/>
    <w:rsid w:val="47DA8972"/>
    <w:rsid w:val="483CB270"/>
    <w:rsid w:val="4844B491"/>
    <w:rsid w:val="48DB6404"/>
    <w:rsid w:val="4909BDBC"/>
    <w:rsid w:val="490C3938"/>
    <w:rsid w:val="493089FE"/>
    <w:rsid w:val="4949A6C8"/>
    <w:rsid w:val="4A26004F"/>
    <w:rsid w:val="4A4CE9BD"/>
    <w:rsid w:val="4A604FA3"/>
    <w:rsid w:val="4AA0A19C"/>
    <w:rsid w:val="4AC3174A"/>
    <w:rsid w:val="4ACD0C1C"/>
    <w:rsid w:val="4C272548"/>
    <w:rsid w:val="4C2B3726"/>
    <w:rsid w:val="4C2E62CA"/>
    <w:rsid w:val="4C7ABE91"/>
    <w:rsid w:val="4D95ACCA"/>
    <w:rsid w:val="4F204623"/>
    <w:rsid w:val="4F854D96"/>
    <w:rsid w:val="4FAF0383"/>
    <w:rsid w:val="4FBD4902"/>
    <w:rsid w:val="5037AA18"/>
    <w:rsid w:val="5067D5B2"/>
    <w:rsid w:val="5068F90F"/>
    <w:rsid w:val="507A33E6"/>
    <w:rsid w:val="50DF4895"/>
    <w:rsid w:val="523ED345"/>
    <w:rsid w:val="52639C3B"/>
    <w:rsid w:val="529A78AA"/>
    <w:rsid w:val="52CC19F2"/>
    <w:rsid w:val="530E1221"/>
    <w:rsid w:val="531E8A53"/>
    <w:rsid w:val="534212FA"/>
    <w:rsid w:val="538139BF"/>
    <w:rsid w:val="5394835B"/>
    <w:rsid w:val="5413D35D"/>
    <w:rsid w:val="54204C52"/>
    <w:rsid w:val="542A49A7"/>
    <w:rsid w:val="54AC0795"/>
    <w:rsid w:val="550D2BD2"/>
    <w:rsid w:val="55221E78"/>
    <w:rsid w:val="55AFA3BE"/>
    <w:rsid w:val="55F84897"/>
    <w:rsid w:val="56524050"/>
    <w:rsid w:val="56775A57"/>
    <w:rsid w:val="5697FF3C"/>
    <w:rsid w:val="573E3260"/>
    <w:rsid w:val="57447C96"/>
    <w:rsid w:val="575CAEF6"/>
    <w:rsid w:val="577AD55D"/>
    <w:rsid w:val="57A5B268"/>
    <w:rsid w:val="57B9184E"/>
    <w:rsid w:val="57C23F5C"/>
    <w:rsid w:val="57C85AE7"/>
    <w:rsid w:val="58BFF964"/>
    <w:rsid w:val="58C42BC7"/>
    <w:rsid w:val="58DF56FA"/>
    <w:rsid w:val="59221BA6"/>
    <w:rsid w:val="5965CCC0"/>
    <w:rsid w:val="5980856B"/>
    <w:rsid w:val="5A2E61D3"/>
    <w:rsid w:val="5A49E469"/>
    <w:rsid w:val="5A7645FD"/>
    <w:rsid w:val="5A77A51B"/>
    <w:rsid w:val="5AD9CDA7"/>
    <w:rsid w:val="5B70CE11"/>
    <w:rsid w:val="5B7C6D56"/>
    <w:rsid w:val="5B867994"/>
    <w:rsid w:val="5BE7C94D"/>
    <w:rsid w:val="5C745E2E"/>
    <w:rsid w:val="5CB0A980"/>
    <w:rsid w:val="5D21E3B1"/>
    <w:rsid w:val="5DB2C81D"/>
    <w:rsid w:val="5DBAB5A3"/>
    <w:rsid w:val="5DBFFC33"/>
    <w:rsid w:val="5E102E8F"/>
    <w:rsid w:val="5E10DBD6"/>
    <w:rsid w:val="5E2216AD"/>
    <w:rsid w:val="5E8D62B3"/>
    <w:rsid w:val="5E967CBA"/>
    <w:rsid w:val="5E9DFEEA"/>
    <w:rsid w:val="5EC900BE"/>
    <w:rsid w:val="5F7693CB"/>
    <w:rsid w:val="5FA3BA5E"/>
    <w:rsid w:val="5FAB7849"/>
    <w:rsid w:val="5FB0C44D"/>
    <w:rsid w:val="60379D5C"/>
    <w:rsid w:val="60441ABC"/>
    <w:rsid w:val="60537709"/>
    <w:rsid w:val="6061B023"/>
    <w:rsid w:val="6076FBFB"/>
    <w:rsid w:val="60D2367F"/>
    <w:rsid w:val="61543487"/>
    <w:rsid w:val="616AF246"/>
    <w:rsid w:val="61814A72"/>
    <w:rsid w:val="618BE7E1"/>
    <w:rsid w:val="619960D2"/>
    <w:rsid w:val="61F07FCA"/>
    <w:rsid w:val="623AF3D7"/>
    <w:rsid w:val="627F41A4"/>
    <w:rsid w:val="62A28D41"/>
    <w:rsid w:val="62DC5537"/>
    <w:rsid w:val="6306C2A7"/>
    <w:rsid w:val="6372051B"/>
    <w:rsid w:val="637BBB7E"/>
    <w:rsid w:val="63B04AC9"/>
    <w:rsid w:val="63D762A5"/>
    <w:rsid w:val="6410CECA"/>
    <w:rsid w:val="642209A1"/>
    <w:rsid w:val="650FB7D5"/>
    <w:rsid w:val="65178BDF"/>
    <w:rsid w:val="65CE1B5D"/>
    <w:rsid w:val="668B9260"/>
    <w:rsid w:val="66B3627E"/>
    <w:rsid w:val="66B8F3AE"/>
    <w:rsid w:val="67172D5B"/>
    <w:rsid w:val="671E0C58"/>
    <w:rsid w:val="67BFABA2"/>
    <w:rsid w:val="67C86B7E"/>
    <w:rsid w:val="68512B35"/>
    <w:rsid w:val="689841D6"/>
    <w:rsid w:val="68D241A4"/>
    <w:rsid w:val="68DD4864"/>
    <w:rsid w:val="6912A482"/>
    <w:rsid w:val="69FA788E"/>
    <w:rsid w:val="6A1D7A7D"/>
    <w:rsid w:val="6ACE3EBF"/>
    <w:rsid w:val="6B0099B5"/>
    <w:rsid w:val="6B4986BE"/>
    <w:rsid w:val="6B6A932B"/>
    <w:rsid w:val="6BC4707B"/>
    <w:rsid w:val="6C2E1183"/>
    <w:rsid w:val="6C4A8CAD"/>
    <w:rsid w:val="6C9BFB47"/>
    <w:rsid w:val="6C9C6A16"/>
    <w:rsid w:val="6D321950"/>
    <w:rsid w:val="6D9F973C"/>
    <w:rsid w:val="6E136D5A"/>
    <w:rsid w:val="6E2EED26"/>
    <w:rsid w:val="6F5230E4"/>
    <w:rsid w:val="6F6CA9CE"/>
    <w:rsid w:val="6FD40AD8"/>
    <w:rsid w:val="709CBD50"/>
    <w:rsid w:val="70F591DD"/>
    <w:rsid w:val="71087A2F"/>
    <w:rsid w:val="714454A8"/>
    <w:rsid w:val="71505A8F"/>
    <w:rsid w:val="716D9ADC"/>
    <w:rsid w:val="7177C8BF"/>
    <w:rsid w:val="719FCC01"/>
    <w:rsid w:val="71A8ECC4"/>
    <w:rsid w:val="71E85038"/>
    <w:rsid w:val="72058A73"/>
    <w:rsid w:val="72096258"/>
    <w:rsid w:val="729F88AE"/>
    <w:rsid w:val="736A0F8E"/>
    <w:rsid w:val="73A15AD4"/>
    <w:rsid w:val="740CBD5E"/>
    <w:rsid w:val="74401AF1"/>
    <w:rsid w:val="74845906"/>
    <w:rsid w:val="74875F2C"/>
    <w:rsid w:val="74891E63"/>
    <w:rsid w:val="74DA75CB"/>
    <w:rsid w:val="74E17E87"/>
    <w:rsid w:val="74F62373"/>
    <w:rsid w:val="752BF05E"/>
    <w:rsid w:val="759609B3"/>
    <w:rsid w:val="75D72970"/>
    <w:rsid w:val="75DEA62D"/>
    <w:rsid w:val="7639FF0B"/>
    <w:rsid w:val="7651A14C"/>
    <w:rsid w:val="765B6905"/>
    <w:rsid w:val="76711388"/>
    <w:rsid w:val="76C7C0BF"/>
    <w:rsid w:val="76D8FB96"/>
    <w:rsid w:val="771499A1"/>
    <w:rsid w:val="772D5125"/>
    <w:rsid w:val="77803E60"/>
    <w:rsid w:val="77A25B55"/>
    <w:rsid w:val="781DAF81"/>
    <w:rsid w:val="786EFCE5"/>
    <w:rsid w:val="7870BA19"/>
    <w:rsid w:val="7874CBF7"/>
    <w:rsid w:val="78836429"/>
    <w:rsid w:val="788606CE"/>
    <w:rsid w:val="78A84F1C"/>
    <w:rsid w:val="78FB59B4"/>
    <w:rsid w:val="7909F5C3"/>
    <w:rsid w:val="7994157B"/>
    <w:rsid w:val="79BCE479"/>
    <w:rsid w:val="79C3C376"/>
    <w:rsid w:val="79D0F757"/>
    <w:rsid w:val="79DF2117"/>
    <w:rsid w:val="79E63924"/>
    <w:rsid w:val="79F92FCB"/>
    <w:rsid w:val="7A732612"/>
    <w:rsid w:val="7ADBBB62"/>
    <w:rsid w:val="7C00C248"/>
    <w:rsid w:val="7C653035"/>
    <w:rsid w:val="7C9556B4"/>
    <w:rsid w:val="7CFB6438"/>
    <w:rsid w:val="7CFCD497"/>
    <w:rsid w:val="7D616577"/>
    <w:rsid w:val="7D82F0C9"/>
    <w:rsid w:val="7DA4802F"/>
    <w:rsid w:val="7E5907ED"/>
    <w:rsid w:val="7F0D46A3"/>
    <w:rsid w:val="7F0FC63E"/>
    <w:rsid w:val="7F1FAB86"/>
    <w:rsid w:val="7F833FAB"/>
    <w:rsid w:val="7FA698D5"/>
    <w:rsid w:val="7FB4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D6C06"/>
  <w15:chartTrackingRefBased/>
  <w15:docId w15:val="{AE0A8031-71B0-460C-B49E-8510B5C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28C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407CD"/>
    <w:pPr>
      <w:ind w:left="720"/>
      <w:contextualSpacing/>
    </w:pPr>
  </w:style>
  <w:style w:type="character" w:styleId="Hyperlink">
    <w:name w:val="Hyperlink"/>
    <w:basedOn w:val="DefaultParagraphFont"/>
    <w:uiPriority w:val="99"/>
    <w:unhideWhenUsed/>
    <w:rsid w:val="00FD0F0F"/>
    <w:rPr>
      <w:color w:val="0563C1" w:themeColor="hyperlink"/>
      <w:u w:val="single"/>
    </w:rPr>
  </w:style>
  <w:style w:type="character" w:styleId="UnresolvedMention1" w:customStyle="1">
    <w:name w:val="Unresolved Mention1"/>
    <w:basedOn w:val="DefaultParagraphFont"/>
    <w:uiPriority w:val="99"/>
    <w:semiHidden/>
    <w:unhideWhenUsed/>
    <w:rsid w:val="00FD0F0F"/>
    <w:rPr>
      <w:color w:val="605E5C"/>
      <w:shd w:val="clear" w:color="auto" w:fill="E1DFDD"/>
    </w:rPr>
  </w:style>
  <w:style w:type="character" w:styleId="Emphasis">
    <w:name w:val="Emphasis"/>
    <w:basedOn w:val="DefaultParagraphFont"/>
    <w:uiPriority w:val="20"/>
    <w:qFormat/>
    <w:rsid w:val="00FE1C3A"/>
    <w:rPr>
      <w:i/>
      <w:iCs/>
    </w:rPr>
  </w:style>
  <w:style w:type="paragraph" w:styleId="NoSpacing">
    <w:name w:val="No Spacing"/>
    <w:uiPriority w:val="1"/>
    <w:qFormat/>
    <w:pPr>
      <w:spacing w:after="0" w:line="240" w:lineRule="auto"/>
    </w:pPr>
  </w:style>
  <w:style w:type="paragraph" w:styleId="Header">
    <w:name w:val="header"/>
    <w:basedOn w:val="Normal"/>
    <w:link w:val="HeaderChar"/>
    <w:uiPriority w:val="99"/>
    <w:semiHidden/>
    <w:unhideWhenUsed/>
    <w:rsid w:val="0094389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43893"/>
  </w:style>
  <w:style w:type="paragraph" w:styleId="Footer">
    <w:name w:val="footer"/>
    <w:basedOn w:val="Normal"/>
    <w:link w:val="FooterChar"/>
    <w:uiPriority w:val="99"/>
    <w:semiHidden/>
    <w:unhideWhenUsed/>
    <w:rsid w:val="0094389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4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3406">
      <w:bodyDiv w:val="1"/>
      <w:marLeft w:val="0"/>
      <w:marRight w:val="0"/>
      <w:marTop w:val="0"/>
      <w:marBottom w:val="0"/>
      <w:divBdr>
        <w:top w:val="none" w:sz="0" w:space="0" w:color="auto"/>
        <w:left w:val="none" w:sz="0" w:space="0" w:color="auto"/>
        <w:bottom w:val="none" w:sz="0" w:space="0" w:color="auto"/>
        <w:right w:val="none" w:sz="0" w:space="0" w:color="auto"/>
      </w:divBdr>
    </w:div>
    <w:div w:id="1498377354">
      <w:bodyDiv w:val="1"/>
      <w:marLeft w:val="0"/>
      <w:marRight w:val="0"/>
      <w:marTop w:val="0"/>
      <w:marBottom w:val="0"/>
      <w:divBdr>
        <w:top w:val="none" w:sz="0" w:space="0" w:color="auto"/>
        <w:left w:val="none" w:sz="0" w:space="0" w:color="auto"/>
        <w:bottom w:val="none" w:sz="0" w:space="0" w:color="auto"/>
        <w:right w:val="none" w:sz="0" w:space="0" w:color="auto"/>
      </w:divBdr>
      <w:divsChild>
        <w:div w:id="947541884">
          <w:marLeft w:val="0"/>
          <w:marRight w:val="0"/>
          <w:marTop w:val="0"/>
          <w:marBottom w:val="0"/>
          <w:divBdr>
            <w:top w:val="none" w:sz="0" w:space="0" w:color="auto"/>
            <w:left w:val="none" w:sz="0" w:space="0" w:color="auto"/>
            <w:bottom w:val="none" w:sz="0" w:space="0" w:color="auto"/>
            <w:right w:val="none" w:sz="0" w:space="0" w:color="auto"/>
          </w:divBdr>
          <w:divsChild>
            <w:div w:id="1898542476">
              <w:marLeft w:val="0"/>
              <w:marRight w:val="0"/>
              <w:marTop w:val="0"/>
              <w:marBottom w:val="0"/>
              <w:divBdr>
                <w:top w:val="none" w:sz="0" w:space="0" w:color="auto"/>
                <w:left w:val="none" w:sz="0" w:space="0" w:color="auto"/>
                <w:bottom w:val="none" w:sz="0" w:space="0" w:color="auto"/>
                <w:right w:val="none" w:sz="0" w:space="0" w:color="auto"/>
              </w:divBdr>
              <w:divsChild>
                <w:div w:id="1998606601">
                  <w:marLeft w:val="0"/>
                  <w:marRight w:val="0"/>
                  <w:marTop w:val="0"/>
                  <w:marBottom w:val="0"/>
                  <w:divBdr>
                    <w:top w:val="none" w:sz="0" w:space="0" w:color="auto"/>
                    <w:left w:val="none" w:sz="0" w:space="0" w:color="auto"/>
                    <w:bottom w:val="none" w:sz="0" w:space="0" w:color="auto"/>
                    <w:right w:val="none" w:sz="0" w:space="0" w:color="auto"/>
                  </w:divBdr>
                  <w:divsChild>
                    <w:div w:id="1837574967">
                      <w:marLeft w:val="0"/>
                      <w:marRight w:val="0"/>
                      <w:marTop w:val="0"/>
                      <w:marBottom w:val="0"/>
                      <w:divBdr>
                        <w:top w:val="none" w:sz="0" w:space="0" w:color="auto"/>
                        <w:left w:val="none" w:sz="0" w:space="0" w:color="auto"/>
                        <w:bottom w:val="none" w:sz="0" w:space="0" w:color="auto"/>
                        <w:right w:val="none" w:sz="0" w:space="0" w:color="auto"/>
                      </w:divBdr>
                      <w:divsChild>
                        <w:div w:id="1985424753">
                          <w:marLeft w:val="0"/>
                          <w:marRight w:val="0"/>
                          <w:marTop w:val="0"/>
                          <w:marBottom w:val="0"/>
                          <w:divBdr>
                            <w:top w:val="none" w:sz="0" w:space="0" w:color="auto"/>
                            <w:left w:val="none" w:sz="0" w:space="0" w:color="auto"/>
                            <w:bottom w:val="none" w:sz="0" w:space="0" w:color="auto"/>
                            <w:right w:val="none" w:sz="0" w:space="0" w:color="auto"/>
                          </w:divBdr>
                          <w:divsChild>
                            <w:div w:id="8669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558768">
          <w:marLeft w:val="0"/>
          <w:marRight w:val="0"/>
          <w:marTop w:val="0"/>
          <w:marBottom w:val="0"/>
          <w:divBdr>
            <w:top w:val="none" w:sz="0" w:space="0" w:color="auto"/>
            <w:left w:val="none" w:sz="0" w:space="0" w:color="auto"/>
            <w:bottom w:val="none" w:sz="0" w:space="0" w:color="auto"/>
            <w:right w:val="none" w:sz="0" w:space="0" w:color="auto"/>
          </w:divBdr>
          <w:divsChild>
            <w:div w:id="11252760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13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l7.org/fhir/relatedperson.htm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uild.fhir.org/ig/HL7/carin-bb/1_Background.html" TargetMode="External" Id="rId11" /><Relationship Type="http://schemas.openxmlformats.org/officeDocument/2006/relationships/styles" Target="styles.xml" Id="rId5" /><Relationship Type="http://schemas.openxmlformats.org/officeDocument/2006/relationships/hyperlink" Target="https://build.fhir.org/ig/HL7/carin-bb/1_Background.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7A226B8040F449EFA06E73576B5AA" ma:contentTypeVersion="10" ma:contentTypeDescription="Create a new document." ma:contentTypeScope="" ma:versionID="9e53f8310004bec248627b01fe8d06ce">
  <xsd:schema xmlns:xsd="http://www.w3.org/2001/XMLSchema" xmlns:xs="http://www.w3.org/2001/XMLSchema" xmlns:p="http://schemas.microsoft.com/office/2006/metadata/properties" xmlns:ns2="a83ee722-876f-4a32-ac66-e6453654df81" xmlns:ns3="eda7bfc1-20fd-4a98-90bb-0a92325c8a45" targetNamespace="http://schemas.microsoft.com/office/2006/metadata/properties" ma:root="true" ma:fieldsID="c5975f23986ba663351469d9895134a5" ns2:_="" ns3:_="">
    <xsd:import namespace="a83ee722-876f-4a32-ac66-e6453654df81"/>
    <xsd:import namespace="eda7bfc1-20fd-4a98-90bb-0a92325c8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ee722-876f-4a32-ac66-e6453654d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a7bfc1-20fd-4a98-90bb-0a92325c8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AC10E-5C59-4187-95E9-69B252F530B1}">
  <ds:schemaRefs>
    <ds:schemaRef ds:uri="http://schemas.microsoft.com/office/2006/documentManagement/types"/>
    <ds:schemaRef ds:uri="http://purl.org/dc/dcmitype/"/>
    <ds:schemaRef ds:uri="http://www.w3.org/XML/1998/namespace"/>
    <ds:schemaRef ds:uri="http://purl.org/dc/terms/"/>
    <ds:schemaRef ds:uri="a83ee722-876f-4a32-ac66-e6453654df81"/>
    <ds:schemaRef ds:uri="http://schemas.microsoft.com/office/2006/metadata/properties"/>
    <ds:schemaRef ds:uri="eda7bfc1-20fd-4a98-90bb-0a92325c8a45"/>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D89CF37-497F-45F4-932C-F8325E5B6DCA}">
  <ds:schemaRefs>
    <ds:schemaRef ds:uri="http://schemas.microsoft.com/sharepoint/v3/contenttype/forms"/>
  </ds:schemaRefs>
</ds:datastoreItem>
</file>

<file path=customXml/itemProps3.xml><?xml version="1.0" encoding="utf-8"?>
<ds:datastoreItem xmlns:ds="http://schemas.openxmlformats.org/officeDocument/2006/customXml" ds:itemID="{326DEFFE-545F-402E-A136-DAF43489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ee722-876f-4a32-ac66-e6453654df81"/>
    <ds:schemaRef ds:uri="eda7bfc1-20fd-4a98-90bb-0a92325c8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Kent Taylor</dc:creator>
  <keywords/>
  <dc:description/>
  <lastModifiedBy>Larry Decelles</lastModifiedBy>
  <revision>11</revision>
  <dcterms:created xsi:type="dcterms:W3CDTF">2021-09-28T12:19:00.0000000Z</dcterms:created>
  <dcterms:modified xsi:type="dcterms:W3CDTF">2021-10-07T21:31:36.5670619Z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72476-9fad-428e-bd1c-a3a17c3bbc75_Enabled">
    <vt:lpwstr>true</vt:lpwstr>
  </property>
  <property fmtid="{D5CDD505-2E9C-101B-9397-08002B2CF9AE}" pid="3" name="MSIP_Label_6a772476-9fad-428e-bd1c-a3a17c3bbc75_SetDate">
    <vt:lpwstr>2021-09-27T16:02:31Z</vt:lpwstr>
  </property>
  <property fmtid="{D5CDD505-2E9C-101B-9397-08002B2CF9AE}" pid="4" name="MSIP_Label_6a772476-9fad-428e-bd1c-a3a17c3bbc75_Method">
    <vt:lpwstr>Standard</vt:lpwstr>
  </property>
  <property fmtid="{D5CDD505-2E9C-101B-9397-08002B2CF9AE}" pid="5" name="MSIP_Label_6a772476-9fad-428e-bd1c-a3a17c3bbc75_Name">
    <vt:lpwstr>Confidential Information</vt:lpwstr>
  </property>
  <property fmtid="{D5CDD505-2E9C-101B-9397-08002B2CF9AE}" pid="6" name="MSIP_Label_6a772476-9fad-428e-bd1c-a3a17c3bbc75_SiteId">
    <vt:lpwstr>bb087376-1284-4173-9385-a6766cdfef8c</vt:lpwstr>
  </property>
  <property fmtid="{D5CDD505-2E9C-101B-9397-08002B2CF9AE}" pid="7" name="MSIP_Label_6a772476-9fad-428e-bd1c-a3a17c3bbc75_ActionId">
    <vt:lpwstr>83ae8552-28dc-4b2b-8f28-1087d32b4616</vt:lpwstr>
  </property>
  <property fmtid="{D5CDD505-2E9C-101B-9397-08002B2CF9AE}" pid="8" name="MSIP_Label_6a772476-9fad-428e-bd1c-a3a17c3bbc75_ContentBits">
    <vt:lpwstr>0</vt:lpwstr>
  </property>
  <property fmtid="{D5CDD505-2E9C-101B-9397-08002B2CF9AE}" pid="9" name="ContentTypeId">
    <vt:lpwstr>0x0101001687A226B8040F449EFA06E73576B5AA</vt:lpwstr>
  </property>
</Properties>
</file>